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85B09" w14:textId="2A43D615" w:rsidR="00ED72C7" w:rsidRDefault="00056D93" w:rsidP="00ED72C7">
      <w:pPr>
        <w:pStyle w:val="sub-main"/>
        <w:ind w:left="0"/>
        <w:rPr>
          <w:b/>
          <w:color w:val="auto"/>
          <w:sz w:val="40"/>
          <w:szCs w:val="40"/>
        </w:rPr>
      </w:pPr>
      <w:r>
        <w:rPr>
          <w:b/>
          <w:color w:val="auto"/>
          <w:sz w:val="40"/>
          <w:szCs w:val="40"/>
        </w:rPr>
        <w:t>January</w:t>
      </w:r>
      <w:r w:rsidR="009F7739">
        <w:rPr>
          <w:b/>
          <w:color w:val="auto"/>
          <w:sz w:val="40"/>
          <w:szCs w:val="40"/>
        </w:rPr>
        <w:t xml:space="preserve"> </w:t>
      </w:r>
      <w:r>
        <w:rPr>
          <w:b/>
          <w:color w:val="auto"/>
          <w:sz w:val="40"/>
          <w:szCs w:val="40"/>
        </w:rPr>
        <w:t>1</w:t>
      </w:r>
      <w:r w:rsidR="009F7739">
        <w:rPr>
          <w:b/>
          <w:color w:val="auto"/>
          <w:sz w:val="40"/>
          <w:szCs w:val="40"/>
        </w:rPr>
        <w:t xml:space="preserve">, </w:t>
      </w:r>
      <w:r w:rsidR="006431D5">
        <w:rPr>
          <w:b/>
          <w:color w:val="auto"/>
          <w:sz w:val="40"/>
          <w:szCs w:val="40"/>
        </w:rPr>
        <w:t>2024</w:t>
      </w:r>
    </w:p>
    <w:p w14:paraId="54D20A7F" w14:textId="77777777" w:rsidR="00C065A9" w:rsidRDefault="007E03C3" w:rsidP="00ED72C7">
      <w:pPr>
        <w:pStyle w:val="NoSpacing"/>
        <w:rPr>
          <w:b/>
          <w:sz w:val="40"/>
          <w:szCs w:val="40"/>
        </w:rPr>
      </w:pPr>
      <w:r w:rsidRPr="007E03C3">
        <w:rPr>
          <w:b/>
          <w:sz w:val="40"/>
          <w:szCs w:val="40"/>
        </w:rPr>
        <w:t>California Notice at Collection for Prospective Employees</w:t>
      </w:r>
      <w:r>
        <w:rPr>
          <w:b/>
          <w:sz w:val="40"/>
          <w:szCs w:val="40"/>
        </w:rPr>
        <w:t xml:space="preserve"> </w:t>
      </w:r>
    </w:p>
    <w:p w14:paraId="1746C0CE" w14:textId="7F901066" w:rsidR="00ED72C7" w:rsidRDefault="00ED72C7" w:rsidP="00ED72C7">
      <w:pPr>
        <w:pStyle w:val="NoSpacing"/>
        <w:rPr>
          <w:rFonts w:ascii="Arial" w:hAnsi="Arial" w:cs="Arial"/>
          <w:sz w:val="24"/>
          <w:szCs w:val="24"/>
        </w:rPr>
      </w:pPr>
      <w:r>
        <w:rPr>
          <w:rFonts w:ascii="Arial" w:hAnsi="Arial" w:cs="Arial"/>
          <w:sz w:val="24"/>
          <w:szCs w:val="24"/>
        </w:rPr>
        <w:t>This Privacy Notice applies to</w:t>
      </w:r>
      <w:r w:rsidR="007E03C3">
        <w:rPr>
          <w:rFonts w:ascii="Arial" w:hAnsi="Arial" w:cs="Arial"/>
          <w:sz w:val="24"/>
          <w:szCs w:val="24"/>
        </w:rPr>
        <w:t xml:space="preserve"> prospective</w:t>
      </w:r>
      <w:r>
        <w:rPr>
          <w:rFonts w:ascii="Arial" w:hAnsi="Arial" w:cs="Arial"/>
          <w:sz w:val="24"/>
          <w:szCs w:val="24"/>
        </w:rPr>
        <w:t xml:space="preserve"> employees</w:t>
      </w:r>
      <w:r w:rsidR="007F088D">
        <w:rPr>
          <w:rFonts w:ascii="Arial" w:hAnsi="Arial" w:cs="Arial"/>
          <w:sz w:val="24"/>
          <w:szCs w:val="24"/>
        </w:rPr>
        <w:t xml:space="preserve"> of Old Republic</w:t>
      </w:r>
      <w:r>
        <w:rPr>
          <w:rFonts w:ascii="Arial" w:hAnsi="Arial" w:cs="Arial"/>
          <w:sz w:val="24"/>
          <w:szCs w:val="24"/>
        </w:rPr>
        <w:t xml:space="preserve"> </w:t>
      </w:r>
      <w:r w:rsidR="00771E29">
        <w:rPr>
          <w:rFonts w:ascii="Arial" w:hAnsi="Arial" w:cs="Arial"/>
          <w:sz w:val="24"/>
          <w:szCs w:val="24"/>
        </w:rPr>
        <w:t>residing in</w:t>
      </w:r>
      <w:r>
        <w:rPr>
          <w:rFonts w:ascii="Arial" w:hAnsi="Arial" w:cs="Arial"/>
          <w:sz w:val="24"/>
          <w:szCs w:val="24"/>
        </w:rPr>
        <w:t xml:space="preserve"> the State of California. This Privacy Notice </w:t>
      </w:r>
      <w:r w:rsidR="007F088D">
        <w:rPr>
          <w:rFonts w:ascii="Arial" w:hAnsi="Arial" w:cs="Arial"/>
          <w:sz w:val="24"/>
          <w:szCs w:val="24"/>
        </w:rPr>
        <w:t xml:space="preserve">uses the definitions for the same terms as such </w:t>
      </w:r>
      <w:r w:rsidR="00771E29">
        <w:rPr>
          <w:rFonts w:ascii="Arial" w:hAnsi="Arial" w:cs="Arial"/>
          <w:sz w:val="24"/>
          <w:szCs w:val="24"/>
        </w:rPr>
        <w:t>terms are</w:t>
      </w:r>
      <w:r w:rsidR="007F088D">
        <w:rPr>
          <w:rFonts w:ascii="Arial" w:hAnsi="Arial" w:cs="Arial"/>
          <w:sz w:val="24"/>
          <w:szCs w:val="24"/>
        </w:rPr>
        <w:t xml:space="preserve"> </w:t>
      </w:r>
      <w:r>
        <w:rPr>
          <w:rFonts w:ascii="Arial" w:hAnsi="Arial" w:cs="Arial"/>
          <w:sz w:val="24"/>
          <w:szCs w:val="24"/>
        </w:rPr>
        <w:t xml:space="preserve">defined in the California </w:t>
      </w:r>
      <w:r w:rsidR="00E31F67">
        <w:rPr>
          <w:rFonts w:ascii="Arial" w:hAnsi="Arial" w:cs="Arial"/>
          <w:sz w:val="24"/>
          <w:szCs w:val="24"/>
        </w:rPr>
        <w:t>Consumer Privacy</w:t>
      </w:r>
      <w:r w:rsidR="00072B25">
        <w:rPr>
          <w:rFonts w:ascii="Arial" w:hAnsi="Arial" w:cs="Arial"/>
          <w:sz w:val="24"/>
          <w:szCs w:val="24"/>
        </w:rPr>
        <w:t xml:space="preserve"> </w:t>
      </w:r>
      <w:r>
        <w:rPr>
          <w:rFonts w:ascii="Arial" w:hAnsi="Arial" w:cs="Arial"/>
          <w:sz w:val="24"/>
          <w:szCs w:val="24"/>
        </w:rPr>
        <w:t>Act (“</w:t>
      </w:r>
      <w:r w:rsidR="00E31F67">
        <w:rPr>
          <w:rFonts w:ascii="Arial" w:hAnsi="Arial" w:cs="Arial"/>
          <w:sz w:val="24"/>
          <w:szCs w:val="24"/>
        </w:rPr>
        <w:t>CCPA</w:t>
      </w:r>
      <w:r>
        <w:rPr>
          <w:rFonts w:ascii="Arial" w:hAnsi="Arial" w:cs="Arial"/>
          <w:sz w:val="24"/>
          <w:szCs w:val="24"/>
        </w:rPr>
        <w:t>”)</w:t>
      </w:r>
      <w:r w:rsidR="007F088D">
        <w:rPr>
          <w:rFonts w:ascii="Arial" w:hAnsi="Arial" w:cs="Arial"/>
          <w:sz w:val="24"/>
          <w:szCs w:val="24"/>
        </w:rPr>
        <w:t>, which are incorporated herein by this reference.</w:t>
      </w:r>
      <w:r>
        <w:rPr>
          <w:rFonts w:ascii="Arial" w:hAnsi="Arial" w:cs="Arial"/>
          <w:sz w:val="24"/>
          <w:szCs w:val="24"/>
        </w:rPr>
        <w:t xml:space="preserve"> </w:t>
      </w:r>
    </w:p>
    <w:p w14:paraId="105F5D41" w14:textId="77777777" w:rsidR="00ED72C7" w:rsidRDefault="00ED72C7" w:rsidP="00ED72C7">
      <w:pPr>
        <w:pStyle w:val="NoSpacing"/>
        <w:rPr>
          <w:rFonts w:ascii="Arial" w:hAnsi="Arial" w:cs="Arial"/>
          <w:sz w:val="24"/>
          <w:szCs w:val="24"/>
        </w:rPr>
      </w:pPr>
    </w:p>
    <w:p w14:paraId="358945DB" w14:textId="77777777" w:rsidR="00ED72C7" w:rsidRDefault="00ED72C7" w:rsidP="00ED72C7">
      <w:pPr>
        <w:pStyle w:val="sub-main"/>
        <w:ind w:left="0"/>
        <w:rPr>
          <w:b/>
          <w:color w:val="auto"/>
          <w:sz w:val="36"/>
          <w:szCs w:val="36"/>
        </w:rPr>
      </w:pPr>
      <w:r>
        <w:rPr>
          <w:b/>
          <w:color w:val="auto"/>
          <w:sz w:val="36"/>
          <w:szCs w:val="36"/>
        </w:rPr>
        <w:t>What Personal Information We Collect</w:t>
      </w:r>
    </w:p>
    <w:p w14:paraId="4F9BEACF" w14:textId="1942428C" w:rsidR="007F088D" w:rsidRDefault="00ED72C7" w:rsidP="00ED72C7">
      <w:pPr>
        <w:pStyle w:val="NoSpacing"/>
        <w:rPr>
          <w:rFonts w:ascii="Arial" w:hAnsi="Arial" w:cs="Arial"/>
          <w:sz w:val="24"/>
          <w:szCs w:val="24"/>
        </w:rPr>
      </w:pPr>
      <w:r>
        <w:rPr>
          <w:rFonts w:ascii="Arial" w:hAnsi="Arial" w:cs="Arial"/>
          <w:sz w:val="24"/>
          <w:szCs w:val="24"/>
        </w:rPr>
        <w:t xml:space="preserve">In accordance with the </w:t>
      </w:r>
      <w:r w:rsidR="00E31F67">
        <w:rPr>
          <w:rFonts w:ascii="Arial" w:hAnsi="Arial" w:cs="Arial"/>
          <w:sz w:val="24"/>
          <w:szCs w:val="24"/>
        </w:rPr>
        <w:t>CCPA</w:t>
      </w:r>
      <w:r>
        <w:rPr>
          <w:rFonts w:ascii="Arial" w:hAnsi="Arial" w:cs="Arial"/>
          <w:sz w:val="24"/>
          <w:szCs w:val="24"/>
        </w:rPr>
        <w:t xml:space="preserve">, </w:t>
      </w:r>
      <w:r w:rsidR="0099665A">
        <w:rPr>
          <w:rFonts w:ascii="Arial" w:hAnsi="Arial" w:cs="Arial"/>
          <w:sz w:val="24"/>
          <w:szCs w:val="24"/>
        </w:rPr>
        <w:t>P</w:t>
      </w:r>
      <w:r>
        <w:rPr>
          <w:rFonts w:ascii="Arial" w:hAnsi="Arial" w:cs="Arial"/>
          <w:sz w:val="24"/>
          <w:szCs w:val="24"/>
        </w:rPr>
        <w:t xml:space="preserve">ersonal </w:t>
      </w:r>
      <w:r w:rsidR="0099665A">
        <w:rPr>
          <w:rFonts w:ascii="Arial" w:hAnsi="Arial" w:cs="Arial"/>
          <w:sz w:val="24"/>
          <w:szCs w:val="24"/>
        </w:rPr>
        <w:t>I</w:t>
      </w:r>
      <w:r>
        <w:rPr>
          <w:rFonts w:ascii="Arial" w:hAnsi="Arial" w:cs="Arial"/>
          <w:sz w:val="24"/>
          <w:szCs w:val="24"/>
        </w:rPr>
        <w:t xml:space="preserve">nformation is information that identifies, relates to, describes, is capable of being associated with, or could reasonably be linked, directly or indirectly, with a particular consumer or household. </w:t>
      </w:r>
    </w:p>
    <w:p w14:paraId="32D470D2" w14:textId="77777777" w:rsidR="007F088D" w:rsidRDefault="007F088D" w:rsidP="00ED72C7">
      <w:pPr>
        <w:pStyle w:val="NoSpacing"/>
        <w:rPr>
          <w:rFonts w:ascii="Arial" w:hAnsi="Arial" w:cs="Arial"/>
          <w:sz w:val="24"/>
          <w:szCs w:val="24"/>
        </w:rPr>
      </w:pPr>
    </w:p>
    <w:p w14:paraId="6E49A1B8" w14:textId="1DFFB2FA" w:rsidR="00ED72C7" w:rsidRDefault="007F088D" w:rsidP="00ED72C7">
      <w:pPr>
        <w:pStyle w:val="NoSpacing"/>
        <w:rPr>
          <w:rFonts w:ascii="Arial" w:hAnsi="Arial" w:cs="Arial"/>
          <w:sz w:val="24"/>
          <w:szCs w:val="24"/>
        </w:rPr>
      </w:pPr>
      <w:r>
        <w:rPr>
          <w:rFonts w:ascii="Arial" w:hAnsi="Arial" w:cs="Arial"/>
          <w:sz w:val="24"/>
          <w:szCs w:val="24"/>
        </w:rPr>
        <w:t xml:space="preserve">However, </w:t>
      </w:r>
      <w:r w:rsidR="00ED72C7">
        <w:rPr>
          <w:rFonts w:ascii="Arial" w:hAnsi="Arial" w:cs="Arial"/>
          <w:sz w:val="24"/>
          <w:szCs w:val="24"/>
        </w:rPr>
        <w:t xml:space="preserve">Personal </w:t>
      </w:r>
      <w:r w:rsidR="0099665A">
        <w:rPr>
          <w:rFonts w:ascii="Arial" w:hAnsi="Arial" w:cs="Arial"/>
          <w:sz w:val="24"/>
          <w:szCs w:val="24"/>
        </w:rPr>
        <w:t>I</w:t>
      </w:r>
      <w:r w:rsidR="00ED72C7">
        <w:rPr>
          <w:rFonts w:ascii="Arial" w:hAnsi="Arial" w:cs="Arial"/>
          <w:sz w:val="24"/>
          <w:szCs w:val="24"/>
        </w:rPr>
        <w:t xml:space="preserve">nformation does </w:t>
      </w:r>
      <w:r w:rsidR="00ED72C7" w:rsidRPr="00771E29">
        <w:rPr>
          <w:rFonts w:ascii="Arial" w:hAnsi="Arial" w:cs="Arial"/>
          <w:b/>
          <w:bCs/>
          <w:sz w:val="24"/>
          <w:szCs w:val="24"/>
        </w:rPr>
        <w:t>not</w:t>
      </w:r>
      <w:r w:rsidR="00ED72C7">
        <w:rPr>
          <w:rFonts w:ascii="Arial" w:hAnsi="Arial" w:cs="Arial"/>
          <w:sz w:val="24"/>
          <w:szCs w:val="24"/>
        </w:rPr>
        <w:t xml:space="preserve"> include information outside the scope of the </w:t>
      </w:r>
      <w:r w:rsidR="00E31F67">
        <w:rPr>
          <w:rFonts w:ascii="Arial" w:hAnsi="Arial" w:cs="Arial"/>
          <w:sz w:val="24"/>
          <w:szCs w:val="24"/>
        </w:rPr>
        <w:t>CCPA</w:t>
      </w:r>
      <w:r w:rsidR="00ED72C7">
        <w:rPr>
          <w:rFonts w:ascii="Arial" w:hAnsi="Arial" w:cs="Arial"/>
          <w:sz w:val="24"/>
          <w:szCs w:val="24"/>
        </w:rPr>
        <w:t xml:space="preserve"> such as:</w:t>
      </w:r>
    </w:p>
    <w:p w14:paraId="19CE14C5" w14:textId="77777777" w:rsidR="00ED72C7" w:rsidRDefault="00ED72C7" w:rsidP="00ED72C7">
      <w:pPr>
        <w:pStyle w:val="NoSpacing"/>
        <w:numPr>
          <w:ilvl w:val="0"/>
          <w:numId w:val="1"/>
        </w:numPr>
        <w:rPr>
          <w:rFonts w:ascii="Arial" w:hAnsi="Arial" w:cs="Arial"/>
          <w:sz w:val="24"/>
          <w:szCs w:val="24"/>
        </w:rPr>
      </w:pPr>
      <w:r>
        <w:rPr>
          <w:rFonts w:ascii="Arial" w:hAnsi="Arial" w:cs="Arial"/>
          <w:sz w:val="24"/>
          <w:szCs w:val="24"/>
        </w:rPr>
        <w:t>Health or medical information covered by the Health Insurance Portability Act of 1996 (HIPAA) and the California Confidentiality of Medical Information Act (CMIA).</w:t>
      </w:r>
    </w:p>
    <w:p w14:paraId="11FF8609" w14:textId="77777777" w:rsidR="00ED72C7" w:rsidRDefault="00ED72C7" w:rsidP="00ED72C7">
      <w:pPr>
        <w:pStyle w:val="NoSpacing"/>
        <w:numPr>
          <w:ilvl w:val="0"/>
          <w:numId w:val="1"/>
        </w:numPr>
        <w:rPr>
          <w:rFonts w:ascii="Arial" w:hAnsi="Arial" w:cs="Arial"/>
          <w:sz w:val="24"/>
          <w:szCs w:val="24"/>
        </w:rPr>
      </w:pPr>
      <w:r>
        <w:rPr>
          <w:rFonts w:ascii="Arial" w:hAnsi="Arial" w:cs="Arial"/>
          <w:sz w:val="24"/>
          <w:szCs w:val="24"/>
        </w:rPr>
        <w:t xml:space="preserve">Personal Information covered by the Gramm-Leach-Bliley Act (GLBA), the Fair Credit Reporting Act (FCRA), the California Financial Information Privacy Act (FIPA), and the Driver’s Privacy Protection Act of 1994, </w:t>
      </w:r>
    </w:p>
    <w:p w14:paraId="12C5D127" w14:textId="77777777" w:rsidR="00ED72C7" w:rsidRDefault="00ED72C7" w:rsidP="00ED72C7">
      <w:pPr>
        <w:pStyle w:val="NoSpacing"/>
        <w:numPr>
          <w:ilvl w:val="0"/>
          <w:numId w:val="1"/>
        </w:numPr>
        <w:rPr>
          <w:rFonts w:ascii="Arial" w:hAnsi="Arial" w:cs="Arial"/>
          <w:sz w:val="24"/>
          <w:szCs w:val="24"/>
        </w:rPr>
      </w:pPr>
      <w:r>
        <w:rPr>
          <w:rFonts w:ascii="Arial" w:hAnsi="Arial" w:cs="Arial"/>
          <w:sz w:val="24"/>
          <w:szCs w:val="24"/>
        </w:rPr>
        <w:t>Publicly available information that is available from federal, state, or local government records, and</w:t>
      </w:r>
    </w:p>
    <w:p w14:paraId="49F57C64" w14:textId="77777777" w:rsidR="00ED72C7" w:rsidRDefault="00ED72C7" w:rsidP="00ED72C7">
      <w:pPr>
        <w:pStyle w:val="NoSpacing"/>
        <w:numPr>
          <w:ilvl w:val="0"/>
          <w:numId w:val="1"/>
        </w:numPr>
        <w:rPr>
          <w:rFonts w:ascii="Arial" w:hAnsi="Arial" w:cs="Arial"/>
          <w:sz w:val="24"/>
          <w:szCs w:val="24"/>
        </w:rPr>
      </w:pPr>
      <w:r>
        <w:rPr>
          <w:rFonts w:ascii="Arial" w:hAnsi="Arial" w:cs="Arial"/>
          <w:sz w:val="24"/>
          <w:szCs w:val="24"/>
        </w:rPr>
        <w:t>De-identified or aggregated consumer information.</w:t>
      </w:r>
    </w:p>
    <w:p w14:paraId="69B1DD25" w14:textId="77777777" w:rsidR="00ED72C7" w:rsidRDefault="00ED72C7" w:rsidP="00ED72C7">
      <w:pPr>
        <w:pStyle w:val="NoSpacing"/>
        <w:ind w:left="720"/>
        <w:rPr>
          <w:rFonts w:ascii="Arial" w:hAnsi="Arial" w:cs="Arial"/>
          <w:sz w:val="24"/>
          <w:szCs w:val="24"/>
        </w:rPr>
      </w:pPr>
    </w:p>
    <w:p w14:paraId="677DC5F5" w14:textId="6BD05DF6" w:rsidR="00ED72C7" w:rsidRDefault="0099665A" w:rsidP="00ED72C7">
      <w:pPr>
        <w:pStyle w:val="NoSpacing"/>
        <w:rPr>
          <w:rFonts w:ascii="Arial" w:hAnsi="Arial" w:cs="Arial"/>
          <w:color w:val="FF0000"/>
          <w:sz w:val="24"/>
          <w:szCs w:val="24"/>
        </w:rPr>
      </w:pPr>
      <w:r>
        <w:rPr>
          <w:rFonts w:ascii="Arial" w:hAnsi="Arial" w:cs="Arial"/>
          <w:sz w:val="24"/>
          <w:szCs w:val="24"/>
        </w:rPr>
        <w:t>T</w:t>
      </w:r>
      <w:r w:rsidR="00ED72C7">
        <w:rPr>
          <w:rFonts w:ascii="Arial" w:hAnsi="Arial" w:cs="Arial"/>
          <w:sz w:val="24"/>
          <w:szCs w:val="24"/>
        </w:rPr>
        <w:t xml:space="preserve">he chart below </w:t>
      </w:r>
      <w:r>
        <w:rPr>
          <w:rFonts w:ascii="Arial" w:hAnsi="Arial" w:cs="Arial"/>
          <w:sz w:val="24"/>
          <w:szCs w:val="24"/>
        </w:rPr>
        <w:t xml:space="preserve">identifies various </w:t>
      </w:r>
      <w:r w:rsidR="00ED72C7">
        <w:rPr>
          <w:rFonts w:ascii="Arial" w:hAnsi="Arial" w:cs="Arial"/>
          <w:sz w:val="24"/>
          <w:szCs w:val="24"/>
        </w:rPr>
        <w:t xml:space="preserve">categories of </w:t>
      </w:r>
      <w:r>
        <w:rPr>
          <w:rFonts w:ascii="Arial" w:hAnsi="Arial" w:cs="Arial"/>
          <w:sz w:val="24"/>
          <w:szCs w:val="24"/>
        </w:rPr>
        <w:t>P</w:t>
      </w:r>
      <w:r w:rsidR="00ED72C7">
        <w:rPr>
          <w:rFonts w:ascii="Arial" w:hAnsi="Arial" w:cs="Arial"/>
          <w:sz w:val="24"/>
          <w:szCs w:val="24"/>
        </w:rPr>
        <w:t xml:space="preserve">ersonal </w:t>
      </w:r>
      <w:r>
        <w:rPr>
          <w:rFonts w:ascii="Arial" w:hAnsi="Arial" w:cs="Arial"/>
          <w:sz w:val="24"/>
          <w:szCs w:val="24"/>
        </w:rPr>
        <w:t>I</w:t>
      </w:r>
      <w:r w:rsidR="00ED72C7">
        <w:rPr>
          <w:rFonts w:ascii="Arial" w:hAnsi="Arial" w:cs="Arial"/>
          <w:sz w:val="24"/>
          <w:szCs w:val="24"/>
        </w:rPr>
        <w:t xml:space="preserve">nformation </w:t>
      </w:r>
      <w:r>
        <w:rPr>
          <w:rFonts w:ascii="Arial" w:hAnsi="Arial" w:cs="Arial"/>
          <w:sz w:val="24"/>
          <w:szCs w:val="24"/>
        </w:rPr>
        <w:t xml:space="preserve">that the Company </w:t>
      </w:r>
      <w:r w:rsidR="00ED72C7">
        <w:rPr>
          <w:rFonts w:ascii="Arial" w:hAnsi="Arial" w:cs="Arial"/>
          <w:sz w:val="24"/>
          <w:szCs w:val="24"/>
        </w:rPr>
        <w:t xml:space="preserve">may have collected about California </w:t>
      </w:r>
      <w:r w:rsidR="008E412F">
        <w:rPr>
          <w:rFonts w:ascii="Arial" w:hAnsi="Arial" w:cs="Arial"/>
          <w:sz w:val="24"/>
          <w:szCs w:val="24"/>
        </w:rPr>
        <w:t xml:space="preserve">prospective </w:t>
      </w:r>
      <w:r w:rsidR="00ED72C7">
        <w:rPr>
          <w:rFonts w:ascii="Arial" w:hAnsi="Arial" w:cs="Arial"/>
          <w:sz w:val="24"/>
          <w:szCs w:val="24"/>
        </w:rPr>
        <w:t xml:space="preserve">employees </w:t>
      </w:r>
      <w:r>
        <w:rPr>
          <w:rFonts w:ascii="Arial" w:hAnsi="Arial" w:cs="Arial"/>
          <w:sz w:val="24"/>
          <w:szCs w:val="24"/>
        </w:rPr>
        <w:t xml:space="preserve">in </w:t>
      </w:r>
      <w:r w:rsidR="00ED72C7">
        <w:rPr>
          <w:rFonts w:ascii="Arial" w:hAnsi="Arial" w:cs="Arial"/>
          <w:sz w:val="24"/>
          <w:szCs w:val="24"/>
        </w:rPr>
        <w:t xml:space="preserve">the </w:t>
      </w:r>
      <w:r>
        <w:rPr>
          <w:rFonts w:ascii="Arial" w:hAnsi="Arial" w:cs="Arial"/>
          <w:sz w:val="24"/>
          <w:szCs w:val="24"/>
        </w:rPr>
        <w:t xml:space="preserve">last </w:t>
      </w:r>
      <w:r w:rsidR="00ED72C7">
        <w:rPr>
          <w:rFonts w:ascii="Arial" w:hAnsi="Arial" w:cs="Arial"/>
          <w:sz w:val="24"/>
          <w:szCs w:val="24"/>
        </w:rPr>
        <w:t>twelve months</w:t>
      </w:r>
      <w:r>
        <w:rPr>
          <w:rFonts w:ascii="Arial" w:hAnsi="Arial" w:cs="Arial"/>
          <w:sz w:val="24"/>
          <w:szCs w:val="24"/>
        </w:rPr>
        <w:t xml:space="preserve"> from the date of this notice</w:t>
      </w:r>
      <w:r w:rsidR="00ED72C7">
        <w:rPr>
          <w:rFonts w:ascii="Arial" w:hAnsi="Arial" w:cs="Arial"/>
          <w:sz w:val="24"/>
          <w:szCs w:val="24"/>
        </w:rPr>
        <w:t>.</w:t>
      </w:r>
      <w:r w:rsidR="006B1B17">
        <w:rPr>
          <w:rFonts w:ascii="Arial" w:hAnsi="Arial" w:cs="Arial"/>
          <w:sz w:val="24"/>
          <w:szCs w:val="24"/>
        </w:rPr>
        <w:t xml:space="preserve">  The Company does not sell or share Personal Information that it collects from its </w:t>
      </w:r>
      <w:r w:rsidR="008E412F">
        <w:rPr>
          <w:rFonts w:ascii="Arial" w:hAnsi="Arial" w:cs="Arial"/>
          <w:sz w:val="24"/>
          <w:szCs w:val="24"/>
        </w:rPr>
        <w:t xml:space="preserve">prospective </w:t>
      </w:r>
      <w:r w:rsidR="006B1B17">
        <w:rPr>
          <w:rFonts w:ascii="Arial" w:hAnsi="Arial" w:cs="Arial"/>
          <w:sz w:val="24"/>
          <w:szCs w:val="24"/>
        </w:rPr>
        <w:t>employees.</w:t>
      </w:r>
    </w:p>
    <w:p w14:paraId="5F2028F6" w14:textId="77777777" w:rsidR="00731517" w:rsidRPr="00115F10" w:rsidRDefault="00731517">
      <w:pPr>
        <w:rPr>
          <w:sz w:val="24"/>
        </w:rPr>
      </w:pPr>
    </w:p>
    <w:tbl>
      <w:tblPr>
        <w:tblStyle w:val="TableGrid"/>
        <w:tblW w:w="10885" w:type="dxa"/>
        <w:tblLook w:val="04A0" w:firstRow="1" w:lastRow="0" w:firstColumn="1" w:lastColumn="0" w:noHBand="0" w:noVBand="1"/>
      </w:tblPr>
      <w:tblGrid>
        <w:gridCol w:w="1584"/>
        <w:gridCol w:w="4496"/>
        <w:gridCol w:w="4805"/>
      </w:tblGrid>
      <w:tr w:rsidR="006E2F68" w14:paraId="3DB8BE16" w14:textId="77777777" w:rsidTr="000F42E4">
        <w:tc>
          <w:tcPr>
            <w:tcW w:w="1584" w:type="dxa"/>
            <w:shd w:val="clear" w:color="auto" w:fill="D9D9D9" w:themeFill="background1" w:themeFillShade="D9"/>
          </w:tcPr>
          <w:p w14:paraId="6FD040DA" w14:textId="77777777" w:rsidR="006E2F68" w:rsidRPr="00D902E1" w:rsidRDefault="006E2F68" w:rsidP="00B23D6B">
            <w:pPr>
              <w:pStyle w:val="sub-main"/>
              <w:ind w:left="0"/>
              <w:rPr>
                <w:b/>
                <w:color w:val="auto"/>
                <w:sz w:val="20"/>
                <w:szCs w:val="20"/>
              </w:rPr>
            </w:pPr>
            <w:r w:rsidRPr="00D902E1">
              <w:rPr>
                <w:b/>
                <w:color w:val="auto"/>
                <w:sz w:val="20"/>
                <w:szCs w:val="20"/>
              </w:rPr>
              <w:t xml:space="preserve">Category              </w:t>
            </w:r>
          </w:p>
        </w:tc>
        <w:tc>
          <w:tcPr>
            <w:tcW w:w="4496" w:type="dxa"/>
            <w:shd w:val="clear" w:color="auto" w:fill="D9D9D9" w:themeFill="background1" w:themeFillShade="D9"/>
          </w:tcPr>
          <w:p w14:paraId="2354E315" w14:textId="77777777" w:rsidR="006E2F68" w:rsidRPr="00D902E1" w:rsidRDefault="006E2F68" w:rsidP="00B23D6B">
            <w:pPr>
              <w:pStyle w:val="sub-main"/>
              <w:ind w:left="0"/>
              <w:jc w:val="center"/>
              <w:rPr>
                <w:b/>
                <w:color w:val="FF0000"/>
                <w:sz w:val="20"/>
                <w:szCs w:val="20"/>
              </w:rPr>
            </w:pPr>
            <w:r>
              <w:rPr>
                <w:b/>
                <w:color w:val="auto"/>
                <w:sz w:val="20"/>
                <w:szCs w:val="20"/>
              </w:rPr>
              <w:t>Examples</w:t>
            </w:r>
          </w:p>
        </w:tc>
        <w:tc>
          <w:tcPr>
            <w:tcW w:w="4805" w:type="dxa"/>
            <w:shd w:val="clear" w:color="auto" w:fill="D9D9D9" w:themeFill="background1" w:themeFillShade="D9"/>
          </w:tcPr>
          <w:p w14:paraId="13DDC419" w14:textId="77777777" w:rsidR="006E2F68" w:rsidRPr="00D902E1" w:rsidRDefault="006E2F68" w:rsidP="00B23D6B">
            <w:pPr>
              <w:pStyle w:val="sub-main"/>
              <w:ind w:left="0"/>
              <w:rPr>
                <w:b/>
                <w:color w:val="auto"/>
                <w:sz w:val="20"/>
                <w:szCs w:val="20"/>
              </w:rPr>
            </w:pPr>
            <w:r>
              <w:rPr>
                <w:b/>
                <w:color w:val="auto"/>
                <w:sz w:val="20"/>
                <w:szCs w:val="20"/>
              </w:rPr>
              <w:t>Business Purpose for Collection</w:t>
            </w:r>
          </w:p>
        </w:tc>
      </w:tr>
      <w:tr w:rsidR="006E2F68" w14:paraId="5B8885C6" w14:textId="77777777" w:rsidTr="000F42E4">
        <w:tc>
          <w:tcPr>
            <w:tcW w:w="1584" w:type="dxa"/>
          </w:tcPr>
          <w:p w14:paraId="73612503" w14:textId="77777777" w:rsidR="006E2F68" w:rsidRDefault="006E2F68" w:rsidP="006F7CF0">
            <w:pPr>
              <w:pStyle w:val="sub-main"/>
              <w:ind w:left="0"/>
              <w:rPr>
                <w:color w:val="auto"/>
                <w:sz w:val="20"/>
                <w:szCs w:val="20"/>
              </w:rPr>
            </w:pPr>
            <w:r>
              <w:rPr>
                <w:color w:val="auto"/>
                <w:sz w:val="20"/>
                <w:szCs w:val="20"/>
              </w:rPr>
              <w:t>Identifiers</w:t>
            </w:r>
          </w:p>
        </w:tc>
        <w:tc>
          <w:tcPr>
            <w:tcW w:w="4496" w:type="dxa"/>
          </w:tcPr>
          <w:p w14:paraId="5ACC3C34" w14:textId="73400D52" w:rsidR="006E2F68" w:rsidRDefault="006E2F68" w:rsidP="006F7CF0">
            <w:pPr>
              <w:pStyle w:val="NoSpacing"/>
            </w:pPr>
            <w:r w:rsidRPr="00ED72C7">
              <w:t xml:space="preserve">Real name, alias, postal address, unique personal identifier, online identifier, Internet protocol address, email address, account </w:t>
            </w:r>
            <w:r w:rsidR="002D385C" w:rsidRPr="00ED72C7">
              <w:t>name, driver’s</w:t>
            </w:r>
            <w:r w:rsidRPr="00ED72C7">
              <w:t xml:space="preserve"> license number, passport number or other similar identifiers </w:t>
            </w:r>
          </w:p>
          <w:p w14:paraId="4C65D98D" w14:textId="77777777" w:rsidR="006E2F68" w:rsidRDefault="006E2F68" w:rsidP="006F7CF0">
            <w:pPr>
              <w:pStyle w:val="NoSpacing"/>
            </w:pPr>
          </w:p>
          <w:p w14:paraId="70D5C7D1" w14:textId="573438D2" w:rsidR="006E2F68" w:rsidRPr="00ED72C7" w:rsidRDefault="006E2F68" w:rsidP="006F7CF0">
            <w:pPr>
              <w:pStyle w:val="NoSpacing"/>
            </w:pPr>
            <w:r>
              <w:t>Social security number is collected.</w:t>
            </w:r>
          </w:p>
        </w:tc>
        <w:tc>
          <w:tcPr>
            <w:tcW w:w="4805" w:type="dxa"/>
          </w:tcPr>
          <w:p w14:paraId="71C2DC40" w14:textId="6C4E0892" w:rsidR="006E2F68" w:rsidRPr="000E3A10" w:rsidRDefault="006E2F68" w:rsidP="006F7CF0">
            <w:pPr>
              <w:pStyle w:val="sub-main"/>
              <w:ind w:left="0"/>
              <w:rPr>
                <w:color w:val="auto"/>
                <w:sz w:val="20"/>
                <w:szCs w:val="20"/>
              </w:rPr>
            </w:pPr>
            <w:r>
              <w:rPr>
                <w:color w:val="auto"/>
                <w:sz w:val="20"/>
                <w:szCs w:val="20"/>
              </w:rPr>
              <w:t>The administration of e</w:t>
            </w:r>
            <w:r w:rsidRPr="000E3A10">
              <w:rPr>
                <w:color w:val="auto"/>
                <w:sz w:val="20"/>
                <w:szCs w:val="20"/>
              </w:rPr>
              <w:t xml:space="preserve">mployment </w:t>
            </w:r>
            <w:r>
              <w:rPr>
                <w:color w:val="auto"/>
                <w:sz w:val="20"/>
                <w:szCs w:val="20"/>
              </w:rPr>
              <w:t xml:space="preserve">affairs </w:t>
            </w:r>
            <w:r w:rsidRPr="000E3A10">
              <w:rPr>
                <w:color w:val="auto"/>
                <w:sz w:val="20"/>
                <w:szCs w:val="20"/>
              </w:rPr>
              <w:t xml:space="preserve">at Old </w:t>
            </w:r>
            <w:r w:rsidR="006D6BB9" w:rsidRPr="000E3A10">
              <w:rPr>
                <w:color w:val="auto"/>
                <w:sz w:val="20"/>
                <w:szCs w:val="20"/>
              </w:rPr>
              <w:t>Republic requires</w:t>
            </w:r>
            <w:r w:rsidRPr="000E3A10">
              <w:rPr>
                <w:color w:val="auto"/>
                <w:sz w:val="20"/>
                <w:szCs w:val="20"/>
              </w:rPr>
              <w:t xml:space="preserve"> collection of </w:t>
            </w:r>
            <w:r>
              <w:rPr>
                <w:color w:val="auto"/>
                <w:sz w:val="20"/>
                <w:szCs w:val="20"/>
              </w:rPr>
              <w:t>P</w:t>
            </w:r>
            <w:r w:rsidRPr="000E3A10">
              <w:rPr>
                <w:color w:val="auto"/>
                <w:sz w:val="20"/>
                <w:szCs w:val="20"/>
              </w:rPr>
              <w:t xml:space="preserve">ersonal </w:t>
            </w:r>
            <w:r>
              <w:rPr>
                <w:color w:val="auto"/>
                <w:sz w:val="20"/>
                <w:szCs w:val="20"/>
              </w:rPr>
              <w:t>I</w:t>
            </w:r>
            <w:r w:rsidRPr="000E3A10">
              <w:rPr>
                <w:color w:val="auto"/>
                <w:sz w:val="20"/>
                <w:szCs w:val="20"/>
              </w:rPr>
              <w:t xml:space="preserve">nformation </w:t>
            </w:r>
            <w:r w:rsidR="007B1DBE">
              <w:rPr>
                <w:color w:val="auto"/>
                <w:sz w:val="20"/>
                <w:szCs w:val="20"/>
              </w:rPr>
              <w:t xml:space="preserve">for </w:t>
            </w:r>
            <w:r>
              <w:rPr>
                <w:color w:val="auto"/>
                <w:sz w:val="20"/>
                <w:szCs w:val="20"/>
              </w:rPr>
              <w:t xml:space="preserve">various </w:t>
            </w:r>
            <w:r w:rsidR="006D6BB9">
              <w:rPr>
                <w:color w:val="auto"/>
                <w:sz w:val="20"/>
                <w:szCs w:val="20"/>
              </w:rPr>
              <w:t>purposes including</w:t>
            </w:r>
            <w:r w:rsidRPr="000E3A10">
              <w:rPr>
                <w:color w:val="auto"/>
                <w:sz w:val="20"/>
                <w:szCs w:val="20"/>
              </w:rPr>
              <w:t xml:space="preserve"> but not limited to:</w:t>
            </w:r>
            <w:r>
              <w:rPr>
                <w:color w:val="auto"/>
                <w:sz w:val="20"/>
                <w:szCs w:val="20"/>
              </w:rPr>
              <w:t xml:space="preserve"> (1</w:t>
            </w:r>
            <w:r w:rsidR="006D6BB9">
              <w:rPr>
                <w:color w:val="auto"/>
                <w:sz w:val="20"/>
                <w:szCs w:val="20"/>
              </w:rPr>
              <w:t>) comply</w:t>
            </w:r>
            <w:r>
              <w:rPr>
                <w:color w:val="auto"/>
                <w:sz w:val="20"/>
                <w:szCs w:val="20"/>
              </w:rPr>
              <w:t xml:space="preserve"> with state &amp; federal employment &amp; record retention laws, (2) effectively process &amp; administer payroll &amp; employee benefit </w:t>
            </w:r>
            <w:r w:rsidR="006D6BB9">
              <w:rPr>
                <w:color w:val="auto"/>
                <w:sz w:val="20"/>
                <w:szCs w:val="20"/>
              </w:rPr>
              <w:t>plans, including</w:t>
            </w:r>
            <w:r>
              <w:rPr>
                <w:color w:val="auto"/>
                <w:sz w:val="20"/>
                <w:szCs w:val="20"/>
              </w:rPr>
              <w:t xml:space="preserve"> leaves of </w:t>
            </w:r>
            <w:r w:rsidR="006D6BB9">
              <w:rPr>
                <w:color w:val="auto"/>
                <w:sz w:val="20"/>
                <w:szCs w:val="20"/>
              </w:rPr>
              <w:t>absence, group</w:t>
            </w:r>
            <w:r>
              <w:rPr>
                <w:color w:val="auto"/>
                <w:sz w:val="20"/>
                <w:szCs w:val="20"/>
              </w:rPr>
              <w:t xml:space="preserve"> health insurance, </w:t>
            </w:r>
            <w:r w:rsidR="006D6BB9">
              <w:rPr>
                <w:color w:val="auto"/>
                <w:sz w:val="20"/>
                <w:szCs w:val="20"/>
              </w:rPr>
              <w:t>retirement, etc.</w:t>
            </w:r>
            <w:r>
              <w:rPr>
                <w:color w:val="auto"/>
                <w:sz w:val="20"/>
                <w:szCs w:val="20"/>
              </w:rPr>
              <w:t xml:space="preserve"> (3</w:t>
            </w:r>
            <w:proofErr w:type="gramStart"/>
            <w:r>
              <w:rPr>
                <w:color w:val="auto"/>
                <w:sz w:val="20"/>
                <w:szCs w:val="20"/>
              </w:rPr>
              <w:t>)  manage</w:t>
            </w:r>
            <w:proofErr w:type="gramEnd"/>
            <w:r>
              <w:rPr>
                <w:color w:val="auto"/>
                <w:sz w:val="20"/>
                <w:szCs w:val="20"/>
              </w:rPr>
              <w:t xml:space="preserve"> &amp; evaluate staffing, including job  performance of individual employees.</w:t>
            </w:r>
          </w:p>
        </w:tc>
      </w:tr>
      <w:tr w:rsidR="006E2F68" w14:paraId="79C2A03B" w14:textId="77777777" w:rsidTr="000F42E4">
        <w:tc>
          <w:tcPr>
            <w:tcW w:w="1584" w:type="dxa"/>
          </w:tcPr>
          <w:p w14:paraId="1F80E6F5" w14:textId="77777777" w:rsidR="006E2F68" w:rsidRDefault="006E2F68" w:rsidP="00B23D6B">
            <w:pPr>
              <w:pStyle w:val="NoSpacing"/>
            </w:pPr>
            <w:r>
              <w:t xml:space="preserve">Personal information described in California Customer Records statute (Cal. </w:t>
            </w:r>
            <w:r>
              <w:lastRenderedPageBreak/>
              <w:t>Civ. Code § 1798.80(e))</w:t>
            </w:r>
          </w:p>
        </w:tc>
        <w:tc>
          <w:tcPr>
            <w:tcW w:w="4496" w:type="dxa"/>
          </w:tcPr>
          <w:p w14:paraId="6ADF5054" w14:textId="3543ADF9" w:rsidR="006E2F68" w:rsidRDefault="006E2F68" w:rsidP="00B23D6B">
            <w:pPr>
              <w:pStyle w:val="NoSpacing"/>
              <w:rPr>
                <w:rFonts w:cstheme="minorHAnsi"/>
                <w:shd w:val="clear" w:color="auto" w:fill="FFFFFF"/>
              </w:rPr>
            </w:pPr>
            <w:r w:rsidRPr="00ED72C7">
              <w:rPr>
                <w:rFonts w:cstheme="minorHAnsi"/>
                <w:shd w:val="clear" w:color="auto" w:fill="FFFFFF"/>
              </w:rPr>
              <w:lastRenderedPageBreak/>
              <w:t xml:space="preserve">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w:t>
            </w:r>
            <w:r w:rsidRPr="00ED72C7">
              <w:rPr>
                <w:rFonts w:cstheme="minorHAnsi"/>
                <w:shd w:val="clear" w:color="auto" w:fill="FFFFFF"/>
              </w:rPr>
              <w:lastRenderedPageBreak/>
              <w:t xml:space="preserve">card number, or any other financial information, medical information, or health insurance information. “Personal information” does not include publicly available information that is lawfully made available to the </w:t>
            </w:r>
            <w:proofErr w:type="gramStart"/>
            <w:r w:rsidRPr="00ED72C7">
              <w:rPr>
                <w:rFonts w:cstheme="minorHAnsi"/>
                <w:shd w:val="clear" w:color="auto" w:fill="FFFFFF"/>
              </w:rPr>
              <w:t>general public</w:t>
            </w:r>
            <w:proofErr w:type="gramEnd"/>
            <w:r w:rsidRPr="00ED72C7">
              <w:rPr>
                <w:rFonts w:cstheme="minorHAnsi"/>
                <w:shd w:val="clear" w:color="auto" w:fill="FFFFFF"/>
              </w:rPr>
              <w:t xml:space="preserve"> from federal, state, or local government records.  </w:t>
            </w:r>
          </w:p>
          <w:p w14:paraId="1C53EE0E" w14:textId="77777777" w:rsidR="006E2F68" w:rsidRDefault="006E2F68" w:rsidP="00B23D6B">
            <w:pPr>
              <w:pStyle w:val="NoSpacing"/>
              <w:rPr>
                <w:rFonts w:cstheme="minorHAnsi"/>
                <w:color w:val="FF0000"/>
                <w:sz w:val="20"/>
                <w:szCs w:val="20"/>
                <w:shd w:val="clear" w:color="auto" w:fill="FFFFFF"/>
              </w:rPr>
            </w:pPr>
          </w:p>
          <w:p w14:paraId="2F28F94E" w14:textId="0778AA24" w:rsidR="006E2F68" w:rsidRPr="00551754" w:rsidRDefault="006E2F68" w:rsidP="00B23D6B">
            <w:pPr>
              <w:pStyle w:val="NoSpacing"/>
              <w:rPr>
                <w:rFonts w:cstheme="minorHAnsi"/>
                <w:color w:val="FF0000"/>
              </w:rPr>
            </w:pPr>
            <w:r w:rsidRPr="00FB1C00">
              <w:rPr>
                <w:rFonts w:cstheme="minorHAnsi"/>
                <w:shd w:val="clear" w:color="auto" w:fill="FFFFFF"/>
              </w:rPr>
              <w:t>Health information</w:t>
            </w:r>
            <w:r w:rsidR="00306F4B">
              <w:rPr>
                <w:rFonts w:cstheme="minorHAnsi"/>
                <w:shd w:val="clear" w:color="auto" w:fill="FFFFFF"/>
              </w:rPr>
              <w:t xml:space="preserve">, </w:t>
            </w:r>
            <w:r w:rsidR="00D01447">
              <w:rPr>
                <w:rFonts w:cstheme="minorHAnsi"/>
                <w:shd w:val="clear" w:color="auto" w:fill="FFFFFF"/>
              </w:rPr>
              <w:t xml:space="preserve">citizenship and immigration status </w:t>
            </w:r>
            <w:r w:rsidRPr="00FB1C00">
              <w:rPr>
                <w:rFonts w:cstheme="minorHAnsi"/>
                <w:shd w:val="clear" w:color="auto" w:fill="FFFFFF"/>
              </w:rPr>
              <w:t>is collected.</w:t>
            </w:r>
          </w:p>
        </w:tc>
        <w:tc>
          <w:tcPr>
            <w:tcW w:w="4805" w:type="dxa"/>
          </w:tcPr>
          <w:p w14:paraId="243E013F" w14:textId="3A488892" w:rsidR="006E2F68" w:rsidRPr="000E3A10" w:rsidRDefault="006E2F68" w:rsidP="00B23D6B">
            <w:pPr>
              <w:pStyle w:val="sub-main"/>
              <w:ind w:left="0"/>
              <w:rPr>
                <w:color w:val="auto"/>
                <w:sz w:val="20"/>
                <w:szCs w:val="20"/>
              </w:rPr>
            </w:pPr>
            <w:r w:rsidRPr="00771E29">
              <w:rPr>
                <w:color w:val="auto"/>
                <w:sz w:val="20"/>
                <w:szCs w:val="20"/>
              </w:rPr>
              <w:lastRenderedPageBreak/>
              <w:t xml:space="preserve">The administration of </w:t>
            </w:r>
            <w:r>
              <w:rPr>
                <w:color w:val="auto"/>
                <w:sz w:val="20"/>
                <w:szCs w:val="20"/>
              </w:rPr>
              <w:t>e</w:t>
            </w:r>
            <w:r w:rsidRPr="00771E29">
              <w:rPr>
                <w:color w:val="auto"/>
                <w:sz w:val="20"/>
                <w:szCs w:val="20"/>
              </w:rPr>
              <w:t xml:space="preserve">mployment affairs at Old </w:t>
            </w:r>
            <w:r w:rsidR="003A7A89" w:rsidRPr="00771E29">
              <w:rPr>
                <w:color w:val="auto"/>
                <w:sz w:val="20"/>
                <w:szCs w:val="20"/>
              </w:rPr>
              <w:t>Republic requires</w:t>
            </w:r>
            <w:r w:rsidRPr="00771E29">
              <w:rPr>
                <w:color w:val="auto"/>
                <w:sz w:val="20"/>
                <w:szCs w:val="20"/>
              </w:rPr>
              <w:t xml:space="preserve"> collection of Personal Information </w:t>
            </w:r>
            <w:r w:rsidR="007B1DBE">
              <w:rPr>
                <w:color w:val="auto"/>
                <w:sz w:val="20"/>
                <w:szCs w:val="20"/>
              </w:rPr>
              <w:t xml:space="preserve">for </w:t>
            </w:r>
            <w:r w:rsidRPr="00771E29">
              <w:rPr>
                <w:color w:val="auto"/>
                <w:sz w:val="20"/>
                <w:szCs w:val="20"/>
              </w:rPr>
              <w:t xml:space="preserve">various </w:t>
            </w:r>
            <w:r w:rsidR="002D385C" w:rsidRPr="00771E29">
              <w:rPr>
                <w:color w:val="auto"/>
                <w:sz w:val="20"/>
                <w:szCs w:val="20"/>
              </w:rPr>
              <w:t>purposes including</w:t>
            </w:r>
            <w:r w:rsidRPr="00771E29">
              <w:rPr>
                <w:color w:val="auto"/>
                <w:sz w:val="20"/>
                <w:szCs w:val="20"/>
              </w:rPr>
              <w:t xml:space="preserve"> but not limited to: (1</w:t>
            </w:r>
            <w:r w:rsidR="006D6BB9" w:rsidRPr="00771E29">
              <w:rPr>
                <w:color w:val="auto"/>
                <w:sz w:val="20"/>
                <w:szCs w:val="20"/>
              </w:rPr>
              <w:t>) comply</w:t>
            </w:r>
            <w:r w:rsidRPr="00771E29">
              <w:rPr>
                <w:color w:val="auto"/>
                <w:sz w:val="20"/>
                <w:szCs w:val="20"/>
              </w:rPr>
              <w:t xml:space="preserve"> with state &amp; federal employment &amp; record retention laws, (2) effectively process &amp; administer payroll &amp; </w:t>
            </w:r>
            <w:r w:rsidRPr="00771E29">
              <w:rPr>
                <w:color w:val="auto"/>
                <w:sz w:val="20"/>
                <w:szCs w:val="20"/>
              </w:rPr>
              <w:lastRenderedPageBreak/>
              <w:t xml:space="preserve">employee benefit </w:t>
            </w:r>
            <w:r w:rsidR="006D6BB9" w:rsidRPr="00771E29">
              <w:rPr>
                <w:color w:val="auto"/>
                <w:sz w:val="20"/>
                <w:szCs w:val="20"/>
              </w:rPr>
              <w:t>plans, including</w:t>
            </w:r>
            <w:r w:rsidRPr="00771E29">
              <w:rPr>
                <w:color w:val="auto"/>
                <w:sz w:val="20"/>
                <w:szCs w:val="20"/>
              </w:rPr>
              <w:t xml:space="preserve"> leaves of </w:t>
            </w:r>
            <w:r w:rsidR="006D6BB9" w:rsidRPr="00771E29">
              <w:rPr>
                <w:color w:val="auto"/>
                <w:sz w:val="20"/>
                <w:szCs w:val="20"/>
              </w:rPr>
              <w:t>absence, group</w:t>
            </w:r>
            <w:r w:rsidRPr="00771E29">
              <w:rPr>
                <w:color w:val="auto"/>
                <w:sz w:val="20"/>
                <w:szCs w:val="20"/>
              </w:rPr>
              <w:t xml:space="preserve"> health insurance, </w:t>
            </w:r>
            <w:r w:rsidR="006D6BB9" w:rsidRPr="00771E29">
              <w:rPr>
                <w:color w:val="auto"/>
                <w:sz w:val="20"/>
                <w:szCs w:val="20"/>
              </w:rPr>
              <w:t>retirement, etc.</w:t>
            </w:r>
            <w:r w:rsidRPr="00771E29">
              <w:rPr>
                <w:color w:val="auto"/>
                <w:sz w:val="20"/>
                <w:szCs w:val="20"/>
              </w:rPr>
              <w:t xml:space="preserve"> (3</w:t>
            </w:r>
            <w:r w:rsidR="006D6BB9" w:rsidRPr="00771E29">
              <w:rPr>
                <w:color w:val="auto"/>
                <w:sz w:val="20"/>
                <w:szCs w:val="20"/>
              </w:rPr>
              <w:t>) manage</w:t>
            </w:r>
            <w:r w:rsidRPr="00771E29">
              <w:rPr>
                <w:color w:val="auto"/>
                <w:sz w:val="20"/>
                <w:szCs w:val="20"/>
              </w:rPr>
              <w:t xml:space="preserve"> &amp; evaluate staffing, including </w:t>
            </w:r>
            <w:r w:rsidR="006D6BB9" w:rsidRPr="00771E29">
              <w:rPr>
                <w:color w:val="auto"/>
                <w:sz w:val="20"/>
                <w:szCs w:val="20"/>
              </w:rPr>
              <w:t>job performance</w:t>
            </w:r>
            <w:r w:rsidRPr="00771E29">
              <w:rPr>
                <w:color w:val="auto"/>
                <w:sz w:val="20"/>
                <w:szCs w:val="20"/>
              </w:rPr>
              <w:t xml:space="preserve"> of individual employees</w:t>
            </w:r>
            <w:r>
              <w:rPr>
                <w:color w:val="auto"/>
                <w:sz w:val="20"/>
                <w:szCs w:val="20"/>
              </w:rPr>
              <w:t>.</w:t>
            </w:r>
          </w:p>
        </w:tc>
      </w:tr>
      <w:tr w:rsidR="00A72C20" w14:paraId="58C157EE" w14:textId="77777777" w:rsidTr="00DF5A89">
        <w:tc>
          <w:tcPr>
            <w:tcW w:w="1584" w:type="dxa"/>
          </w:tcPr>
          <w:p w14:paraId="7C389D01" w14:textId="77777777" w:rsidR="00A72C20" w:rsidRDefault="00A72C20" w:rsidP="00B23D6B">
            <w:pPr>
              <w:pStyle w:val="NoSpacing"/>
            </w:pPr>
          </w:p>
        </w:tc>
        <w:tc>
          <w:tcPr>
            <w:tcW w:w="4496" w:type="dxa"/>
          </w:tcPr>
          <w:p w14:paraId="22EC3856" w14:textId="77777777" w:rsidR="00A72C20" w:rsidRPr="00ED72C7" w:rsidRDefault="00A72C20" w:rsidP="00B23D6B">
            <w:pPr>
              <w:pStyle w:val="NoSpacing"/>
              <w:rPr>
                <w:rFonts w:cstheme="minorHAnsi"/>
                <w:shd w:val="clear" w:color="auto" w:fill="FFFFFF"/>
              </w:rPr>
            </w:pPr>
          </w:p>
        </w:tc>
        <w:tc>
          <w:tcPr>
            <w:tcW w:w="4805" w:type="dxa"/>
          </w:tcPr>
          <w:p w14:paraId="5B39F037" w14:textId="77777777" w:rsidR="00A72C20" w:rsidRPr="00771E29" w:rsidRDefault="00A72C20" w:rsidP="00B23D6B">
            <w:pPr>
              <w:pStyle w:val="sub-main"/>
              <w:ind w:left="0"/>
              <w:rPr>
                <w:color w:val="auto"/>
                <w:sz w:val="20"/>
                <w:szCs w:val="20"/>
              </w:rPr>
            </w:pPr>
          </w:p>
        </w:tc>
      </w:tr>
      <w:tr w:rsidR="006E2F68" w14:paraId="02D0520A" w14:textId="77777777" w:rsidTr="000F42E4">
        <w:tc>
          <w:tcPr>
            <w:tcW w:w="1584" w:type="dxa"/>
          </w:tcPr>
          <w:p w14:paraId="3A89E92D" w14:textId="77777777" w:rsidR="006E2F68" w:rsidRDefault="006E2F68" w:rsidP="00B23D6B">
            <w:pPr>
              <w:pStyle w:val="NoSpacing"/>
            </w:pPr>
            <w:r>
              <w:t>Characteristics of protected classifications under California or federal law</w:t>
            </w:r>
          </w:p>
        </w:tc>
        <w:tc>
          <w:tcPr>
            <w:tcW w:w="4496" w:type="dxa"/>
          </w:tcPr>
          <w:p w14:paraId="7C10C716" w14:textId="77777777" w:rsidR="006E2F68" w:rsidRDefault="006E2F68" w:rsidP="00B23D6B">
            <w:pPr>
              <w:pStyle w:val="NoSpacing"/>
            </w:pPr>
            <w:r w:rsidRPr="00ED72C7">
              <w:t>Age (40 years or older), race, color, ancestry, national origin, citizenship, religions or creed, marital status, medical condition, physical or mental disability, sex (including gender, gender identity, gender expression, pregnancy or childbirth and related medical conditions), sexual orientation, veteran or military status, or genetic information (including familial genetic information).</w:t>
            </w:r>
          </w:p>
          <w:p w14:paraId="31FB023E" w14:textId="77777777" w:rsidR="00896637" w:rsidRDefault="00896637" w:rsidP="00B23D6B">
            <w:pPr>
              <w:pStyle w:val="NoSpacing"/>
            </w:pPr>
          </w:p>
          <w:p w14:paraId="3E83856C" w14:textId="77777777" w:rsidR="00896637" w:rsidRDefault="00896637" w:rsidP="00B23D6B">
            <w:pPr>
              <w:pStyle w:val="NoSpacing"/>
            </w:pPr>
          </w:p>
          <w:p w14:paraId="57C332FF" w14:textId="089C6BC8" w:rsidR="00896637" w:rsidRPr="00ED72C7" w:rsidRDefault="00896637" w:rsidP="00B23D6B">
            <w:pPr>
              <w:pStyle w:val="NoSpacing"/>
            </w:pPr>
            <w:r>
              <w:t>Citizenship is collected</w:t>
            </w:r>
          </w:p>
        </w:tc>
        <w:tc>
          <w:tcPr>
            <w:tcW w:w="4805" w:type="dxa"/>
          </w:tcPr>
          <w:p w14:paraId="63B3C66E" w14:textId="24AEC7CD" w:rsidR="006E2F68" w:rsidRPr="000E3A10" w:rsidRDefault="006E2F68" w:rsidP="00B23D6B">
            <w:pPr>
              <w:pStyle w:val="sub-main"/>
              <w:ind w:left="0"/>
              <w:rPr>
                <w:color w:val="auto"/>
                <w:sz w:val="20"/>
                <w:szCs w:val="20"/>
              </w:rPr>
            </w:pPr>
            <w:r w:rsidRPr="00771E29">
              <w:rPr>
                <w:color w:val="auto"/>
                <w:sz w:val="20"/>
                <w:szCs w:val="20"/>
              </w:rPr>
              <w:t xml:space="preserve">The administration of </w:t>
            </w:r>
            <w:r>
              <w:rPr>
                <w:color w:val="auto"/>
                <w:sz w:val="20"/>
                <w:szCs w:val="20"/>
              </w:rPr>
              <w:t>e</w:t>
            </w:r>
            <w:r w:rsidRPr="00771E29">
              <w:rPr>
                <w:color w:val="auto"/>
                <w:sz w:val="20"/>
                <w:szCs w:val="20"/>
              </w:rPr>
              <w:t xml:space="preserve">mployment affairs at Old </w:t>
            </w:r>
            <w:r w:rsidR="003A7A89" w:rsidRPr="00771E29">
              <w:rPr>
                <w:color w:val="auto"/>
                <w:sz w:val="20"/>
                <w:szCs w:val="20"/>
              </w:rPr>
              <w:t>Republic requires</w:t>
            </w:r>
            <w:r w:rsidRPr="00771E29">
              <w:rPr>
                <w:color w:val="auto"/>
                <w:sz w:val="20"/>
                <w:szCs w:val="20"/>
              </w:rPr>
              <w:t xml:space="preserve"> collection of Personal Information </w:t>
            </w:r>
            <w:r w:rsidR="007B1DBE">
              <w:rPr>
                <w:color w:val="auto"/>
                <w:sz w:val="20"/>
                <w:szCs w:val="20"/>
              </w:rPr>
              <w:t xml:space="preserve">for </w:t>
            </w:r>
            <w:r w:rsidRPr="00771E29">
              <w:rPr>
                <w:color w:val="auto"/>
                <w:sz w:val="20"/>
                <w:szCs w:val="20"/>
              </w:rPr>
              <w:t xml:space="preserve">various </w:t>
            </w:r>
            <w:r w:rsidR="002D385C" w:rsidRPr="00771E29">
              <w:rPr>
                <w:color w:val="auto"/>
                <w:sz w:val="20"/>
                <w:szCs w:val="20"/>
              </w:rPr>
              <w:t>purposes including</w:t>
            </w:r>
            <w:r w:rsidRPr="00771E29">
              <w:rPr>
                <w:color w:val="auto"/>
                <w:sz w:val="20"/>
                <w:szCs w:val="20"/>
              </w:rPr>
              <w:t xml:space="preserve"> but not limited to: (1</w:t>
            </w:r>
            <w:r w:rsidR="006D6BB9" w:rsidRPr="00771E29">
              <w:rPr>
                <w:color w:val="auto"/>
                <w:sz w:val="20"/>
                <w:szCs w:val="20"/>
              </w:rPr>
              <w:t>) comply</w:t>
            </w:r>
            <w:r w:rsidRPr="00771E29">
              <w:rPr>
                <w:color w:val="auto"/>
                <w:sz w:val="20"/>
                <w:szCs w:val="20"/>
              </w:rPr>
              <w:t xml:space="preserve"> with state &amp; federal employment &amp; record retention laws, (2) effectively process &amp; administer payroll &amp; employee benefit </w:t>
            </w:r>
            <w:r w:rsidR="006D6BB9" w:rsidRPr="00771E29">
              <w:rPr>
                <w:color w:val="auto"/>
                <w:sz w:val="20"/>
                <w:szCs w:val="20"/>
              </w:rPr>
              <w:t>plans, including</w:t>
            </w:r>
            <w:r w:rsidRPr="00771E29">
              <w:rPr>
                <w:color w:val="auto"/>
                <w:sz w:val="20"/>
                <w:szCs w:val="20"/>
              </w:rPr>
              <w:t xml:space="preserve"> leaves of </w:t>
            </w:r>
            <w:r w:rsidR="006D6BB9" w:rsidRPr="00771E29">
              <w:rPr>
                <w:color w:val="auto"/>
                <w:sz w:val="20"/>
                <w:szCs w:val="20"/>
              </w:rPr>
              <w:t>absence, group</w:t>
            </w:r>
            <w:r w:rsidRPr="00771E29">
              <w:rPr>
                <w:color w:val="auto"/>
                <w:sz w:val="20"/>
                <w:szCs w:val="20"/>
              </w:rPr>
              <w:t xml:space="preserve"> health insurance, </w:t>
            </w:r>
            <w:r w:rsidR="006D6BB9" w:rsidRPr="00771E29">
              <w:rPr>
                <w:color w:val="auto"/>
                <w:sz w:val="20"/>
                <w:szCs w:val="20"/>
              </w:rPr>
              <w:t>retirement, etc.</w:t>
            </w:r>
            <w:r w:rsidRPr="00771E29">
              <w:rPr>
                <w:color w:val="auto"/>
                <w:sz w:val="20"/>
                <w:szCs w:val="20"/>
              </w:rPr>
              <w:t xml:space="preserve"> (3</w:t>
            </w:r>
            <w:r w:rsidR="006D6BB9" w:rsidRPr="00771E29">
              <w:rPr>
                <w:color w:val="auto"/>
                <w:sz w:val="20"/>
                <w:szCs w:val="20"/>
              </w:rPr>
              <w:t>) manage</w:t>
            </w:r>
            <w:r w:rsidRPr="00771E29">
              <w:rPr>
                <w:color w:val="auto"/>
                <w:sz w:val="20"/>
                <w:szCs w:val="20"/>
              </w:rPr>
              <w:t xml:space="preserve"> &amp; evaluate staffing, including </w:t>
            </w:r>
            <w:r w:rsidR="006D6BB9" w:rsidRPr="00771E29">
              <w:rPr>
                <w:color w:val="auto"/>
                <w:sz w:val="20"/>
                <w:szCs w:val="20"/>
              </w:rPr>
              <w:t>job performance</w:t>
            </w:r>
            <w:r w:rsidRPr="00771E29">
              <w:rPr>
                <w:color w:val="auto"/>
                <w:sz w:val="20"/>
                <w:szCs w:val="20"/>
              </w:rPr>
              <w:t xml:space="preserve"> of individual employees</w:t>
            </w:r>
            <w:r>
              <w:rPr>
                <w:color w:val="auto"/>
                <w:sz w:val="20"/>
                <w:szCs w:val="20"/>
              </w:rPr>
              <w:t>.</w:t>
            </w:r>
          </w:p>
        </w:tc>
      </w:tr>
      <w:tr w:rsidR="006E2F68" w14:paraId="78D80942" w14:textId="77777777" w:rsidTr="000F42E4">
        <w:tc>
          <w:tcPr>
            <w:tcW w:w="1584" w:type="dxa"/>
          </w:tcPr>
          <w:p w14:paraId="0CE80893" w14:textId="77777777" w:rsidR="006E2F68" w:rsidRDefault="006E2F68" w:rsidP="00B23D6B">
            <w:pPr>
              <w:pStyle w:val="NoSpacing"/>
            </w:pPr>
            <w:r>
              <w:t>Internet or other electronic network activity</w:t>
            </w:r>
          </w:p>
        </w:tc>
        <w:tc>
          <w:tcPr>
            <w:tcW w:w="4496" w:type="dxa"/>
          </w:tcPr>
          <w:p w14:paraId="3C9DB90F" w14:textId="77777777" w:rsidR="006E2F68" w:rsidRPr="000A6F44" w:rsidRDefault="006E2F68" w:rsidP="00B23D6B">
            <w:pPr>
              <w:pStyle w:val="NoSpacing"/>
              <w:rPr>
                <w:strike/>
              </w:rPr>
            </w:pPr>
            <w:r w:rsidRPr="00ED72C7">
              <w:t>Browsing history, search history</w:t>
            </w:r>
            <w:r w:rsidRPr="00DD10B6">
              <w:t xml:space="preserve">, </w:t>
            </w:r>
            <w:r w:rsidRPr="000E3A10">
              <w:t>device identifier,</w:t>
            </w:r>
            <w:r w:rsidRPr="00DD10B6">
              <w:t xml:space="preserve"> </w:t>
            </w:r>
            <w:r w:rsidRPr="00ED72C7">
              <w:t>information about a</w:t>
            </w:r>
            <w:r>
              <w:t>n</w:t>
            </w:r>
            <w:r w:rsidRPr="00ED72C7">
              <w:t xml:space="preserve"> </w:t>
            </w:r>
            <w:r>
              <w:t>employee</w:t>
            </w:r>
            <w:r w:rsidRPr="00ED72C7">
              <w:t>’s interaction with a website, application, or advertisement</w:t>
            </w:r>
            <w:r>
              <w:t>.</w:t>
            </w:r>
          </w:p>
        </w:tc>
        <w:tc>
          <w:tcPr>
            <w:tcW w:w="4805" w:type="dxa"/>
          </w:tcPr>
          <w:p w14:paraId="3E951875" w14:textId="40BF9BEF" w:rsidR="006E2F68" w:rsidRPr="000E3A10" w:rsidRDefault="006E2F68" w:rsidP="00B23D6B">
            <w:pPr>
              <w:pStyle w:val="sub-main"/>
              <w:ind w:left="0"/>
              <w:rPr>
                <w:color w:val="auto"/>
                <w:sz w:val="20"/>
                <w:szCs w:val="20"/>
              </w:rPr>
            </w:pPr>
            <w:r w:rsidRPr="00771E29">
              <w:rPr>
                <w:color w:val="auto"/>
                <w:sz w:val="20"/>
                <w:szCs w:val="20"/>
              </w:rPr>
              <w:t xml:space="preserve">The administration of </w:t>
            </w:r>
            <w:r>
              <w:rPr>
                <w:color w:val="auto"/>
                <w:sz w:val="20"/>
                <w:szCs w:val="20"/>
              </w:rPr>
              <w:t>e</w:t>
            </w:r>
            <w:r w:rsidRPr="00771E29">
              <w:rPr>
                <w:color w:val="auto"/>
                <w:sz w:val="20"/>
                <w:szCs w:val="20"/>
              </w:rPr>
              <w:t xml:space="preserve">mployment affairs at Old </w:t>
            </w:r>
            <w:r w:rsidR="003A7A89" w:rsidRPr="00771E29">
              <w:rPr>
                <w:color w:val="auto"/>
                <w:sz w:val="20"/>
                <w:szCs w:val="20"/>
              </w:rPr>
              <w:t>Republic requires</w:t>
            </w:r>
            <w:r w:rsidRPr="00771E29">
              <w:rPr>
                <w:color w:val="auto"/>
                <w:sz w:val="20"/>
                <w:szCs w:val="20"/>
              </w:rPr>
              <w:t xml:space="preserve"> collection of Personal Information </w:t>
            </w:r>
            <w:r w:rsidR="007B1DBE">
              <w:rPr>
                <w:color w:val="auto"/>
                <w:sz w:val="20"/>
                <w:szCs w:val="20"/>
              </w:rPr>
              <w:t xml:space="preserve">for </w:t>
            </w:r>
            <w:r w:rsidRPr="00771E29">
              <w:rPr>
                <w:color w:val="auto"/>
                <w:sz w:val="20"/>
                <w:szCs w:val="20"/>
              </w:rPr>
              <w:t xml:space="preserve">various </w:t>
            </w:r>
            <w:r w:rsidR="002D385C" w:rsidRPr="00771E29">
              <w:rPr>
                <w:color w:val="auto"/>
                <w:sz w:val="20"/>
                <w:szCs w:val="20"/>
              </w:rPr>
              <w:t>purposes including</w:t>
            </w:r>
            <w:r w:rsidRPr="00771E29">
              <w:rPr>
                <w:color w:val="auto"/>
                <w:sz w:val="20"/>
                <w:szCs w:val="20"/>
              </w:rPr>
              <w:t xml:space="preserve"> but not limited to: (1</w:t>
            </w:r>
            <w:r w:rsidR="006D6BB9" w:rsidRPr="00771E29">
              <w:rPr>
                <w:color w:val="auto"/>
                <w:sz w:val="20"/>
                <w:szCs w:val="20"/>
              </w:rPr>
              <w:t>) comply</w:t>
            </w:r>
            <w:r w:rsidRPr="00771E29">
              <w:rPr>
                <w:color w:val="auto"/>
                <w:sz w:val="20"/>
                <w:szCs w:val="20"/>
              </w:rPr>
              <w:t xml:space="preserve"> with state &amp; federal employment &amp; record retention laws, (2) effectively process &amp; administer payroll &amp; employee benefit </w:t>
            </w:r>
            <w:r w:rsidR="006D6BB9" w:rsidRPr="00771E29">
              <w:rPr>
                <w:color w:val="auto"/>
                <w:sz w:val="20"/>
                <w:szCs w:val="20"/>
              </w:rPr>
              <w:t>plans, including</w:t>
            </w:r>
            <w:r w:rsidRPr="00771E29">
              <w:rPr>
                <w:color w:val="auto"/>
                <w:sz w:val="20"/>
                <w:szCs w:val="20"/>
              </w:rPr>
              <w:t xml:space="preserve"> leaves of </w:t>
            </w:r>
            <w:r w:rsidR="006D6BB9" w:rsidRPr="00771E29">
              <w:rPr>
                <w:color w:val="auto"/>
                <w:sz w:val="20"/>
                <w:szCs w:val="20"/>
              </w:rPr>
              <w:t>absence, group</w:t>
            </w:r>
            <w:r w:rsidRPr="00771E29">
              <w:rPr>
                <w:color w:val="auto"/>
                <w:sz w:val="20"/>
                <w:szCs w:val="20"/>
              </w:rPr>
              <w:t xml:space="preserve"> health insurance, </w:t>
            </w:r>
            <w:r w:rsidR="006D6BB9" w:rsidRPr="00771E29">
              <w:rPr>
                <w:color w:val="auto"/>
                <w:sz w:val="20"/>
                <w:szCs w:val="20"/>
              </w:rPr>
              <w:t>retirement, etc.</w:t>
            </w:r>
            <w:r w:rsidRPr="00771E29">
              <w:rPr>
                <w:color w:val="auto"/>
                <w:sz w:val="20"/>
                <w:szCs w:val="20"/>
              </w:rPr>
              <w:t xml:space="preserve"> (3</w:t>
            </w:r>
            <w:r w:rsidR="006D6BB9" w:rsidRPr="00771E29">
              <w:rPr>
                <w:color w:val="auto"/>
                <w:sz w:val="20"/>
                <w:szCs w:val="20"/>
              </w:rPr>
              <w:t>) manage</w:t>
            </w:r>
            <w:r w:rsidRPr="00771E29">
              <w:rPr>
                <w:color w:val="auto"/>
                <w:sz w:val="20"/>
                <w:szCs w:val="20"/>
              </w:rPr>
              <w:t xml:space="preserve"> &amp; evaluate staffing, including </w:t>
            </w:r>
            <w:r w:rsidR="006D6BB9" w:rsidRPr="00771E29">
              <w:rPr>
                <w:color w:val="auto"/>
                <w:sz w:val="20"/>
                <w:szCs w:val="20"/>
              </w:rPr>
              <w:t>job performance</w:t>
            </w:r>
            <w:r w:rsidRPr="00771E29">
              <w:rPr>
                <w:color w:val="auto"/>
                <w:sz w:val="20"/>
                <w:szCs w:val="20"/>
              </w:rPr>
              <w:t xml:space="preserve"> of individual employees</w:t>
            </w:r>
            <w:r>
              <w:rPr>
                <w:color w:val="auto"/>
                <w:sz w:val="20"/>
                <w:szCs w:val="20"/>
              </w:rPr>
              <w:t>. (4) comply with IT data security protocols related to systems integrity, cybercrime, hacks, &amp; internet fraud.</w:t>
            </w:r>
          </w:p>
        </w:tc>
      </w:tr>
      <w:tr w:rsidR="006E2F68" w14:paraId="3C1FC207" w14:textId="77777777" w:rsidTr="000F42E4">
        <w:tc>
          <w:tcPr>
            <w:tcW w:w="1584" w:type="dxa"/>
          </w:tcPr>
          <w:p w14:paraId="12E81121" w14:textId="77777777" w:rsidR="006E2F68" w:rsidRDefault="006E2F68" w:rsidP="00B23D6B">
            <w:pPr>
              <w:pStyle w:val="NoSpacing"/>
            </w:pPr>
            <w:r>
              <w:t>Professional or employment related information</w:t>
            </w:r>
          </w:p>
        </w:tc>
        <w:tc>
          <w:tcPr>
            <w:tcW w:w="4496" w:type="dxa"/>
          </w:tcPr>
          <w:p w14:paraId="6BE5E50B" w14:textId="77777777" w:rsidR="006E2F68" w:rsidRDefault="006E2F68" w:rsidP="00B23D6B">
            <w:pPr>
              <w:pStyle w:val="NoSpacing"/>
              <w:rPr>
                <w:color w:val="FF0000"/>
              </w:rPr>
            </w:pPr>
            <w:r>
              <w:t xml:space="preserve">Current or past employment history, performance evaluations, disciplinary records, investigations, awards, earnings, compensation and payroll records, benefit records, employment application, resume, background checks, contracts and agreements or termination records, leave documentation, medical </w:t>
            </w:r>
            <w:proofErr w:type="gramStart"/>
            <w:r>
              <w:t>records</w:t>
            </w:r>
            <w:proofErr w:type="gramEnd"/>
            <w:r>
              <w:t xml:space="preserve"> or </w:t>
            </w:r>
            <w:r w:rsidRPr="00DD10B6">
              <w:t xml:space="preserve">workers compensation records.  </w:t>
            </w:r>
            <w:r w:rsidRPr="000E3A10">
              <w:rPr>
                <w:rFonts w:cstheme="minorHAnsi"/>
                <w:shd w:val="clear" w:color="auto" w:fill="FFFFFF"/>
              </w:rPr>
              <w:t>Time off records, benefit elections, benefit contributions, professional certifications.</w:t>
            </w:r>
          </w:p>
        </w:tc>
        <w:tc>
          <w:tcPr>
            <w:tcW w:w="4805" w:type="dxa"/>
          </w:tcPr>
          <w:p w14:paraId="67A83C57" w14:textId="7DD096D0" w:rsidR="006E2F68" w:rsidRPr="000E3A10" w:rsidRDefault="006E2F68" w:rsidP="00B23D6B">
            <w:pPr>
              <w:pStyle w:val="sub-main"/>
              <w:ind w:left="0"/>
              <w:rPr>
                <w:color w:val="auto"/>
                <w:sz w:val="20"/>
                <w:szCs w:val="20"/>
              </w:rPr>
            </w:pPr>
            <w:r w:rsidRPr="00771E29">
              <w:rPr>
                <w:color w:val="auto"/>
                <w:sz w:val="20"/>
                <w:szCs w:val="20"/>
              </w:rPr>
              <w:t xml:space="preserve">The administration of </w:t>
            </w:r>
            <w:r>
              <w:rPr>
                <w:color w:val="auto"/>
                <w:sz w:val="20"/>
                <w:szCs w:val="20"/>
              </w:rPr>
              <w:t>e</w:t>
            </w:r>
            <w:r w:rsidRPr="00771E29">
              <w:rPr>
                <w:color w:val="auto"/>
                <w:sz w:val="20"/>
                <w:szCs w:val="20"/>
              </w:rPr>
              <w:t xml:space="preserve">mployment affairs at Old </w:t>
            </w:r>
            <w:r w:rsidR="003A7A89" w:rsidRPr="00771E29">
              <w:rPr>
                <w:color w:val="auto"/>
                <w:sz w:val="20"/>
                <w:szCs w:val="20"/>
              </w:rPr>
              <w:t>Republic requires</w:t>
            </w:r>
            <w:r w:rsidRPr="00771E29">
              <w:rPr>
                <w:color w:val="auto"/>
                <w:sz w:val="20"/>
                <w:szCs w:val="20"/>
              </w:rPr>
              <w:t xml:space="preserve"> collection of Personal Information </w:t>
            </w:r>
            <w:r w:rsidR="007B1DBE">
              <w:rPr>
                <w:color w:val="auto"/>
                <w:sz w:val="20"/>
                <w:szCs w:val="20"/>
              </w:rPr>
              <w:t xml:space="preserve">for </w:t>
            </w:r>
            <w:r w:rsidRPr="00771E29">
              <w:rPr>
                <w:color w:val="auto"/>
                <w:sz w:val="20"/>
                <w:szCs w:val="20"/>
              </w:rPr>
              <w:t xml:space="preserve">various </w:t>
            </w:r>
            <w:r w:rsidR="002D385C" w:rsidRPr="00771E29">
              <w:rPr>
                <w:color w:val="auto"/>
                <w:sz w:val="20"/>
                <w:szCs w:val="20"/>
              </w:rPr>
              <w:t>purposes including</w:t>
            </w:r>
            <w:r w:rsidRPr="00771E29">
              <w:rPr>
                <w:color w:val="auto"/>
                <w:sz w:val="20"/>
                <w:szCs w:val="20"/>
              </w:rPr>
              <w:t xml:space="preserve"> but not limited to: (1</w:t>
            </w:r>
            <w:r w:rsidR="006D6BB9" w:rsidRPr="00771E29">
              <w:rPr>
                <w:color w:val="auto"/>
                <w:sz w:val="20"/>
                <w:szCs w:val="20"/>
              </w:rPr>
              <w:t>) comply</w:t>
            </w:r>
            <w:r w:rsidRPr="00771E29">
              <w:rPr>
                <w:color w:val="auto"/>
                <w:sz w:val="20"/>
                <w:szCs w:val="20"/>
              </w:rPr>
              <w:t xml:space="preserve"> with state &amp; federal employment &amp; record retention laws, (2) effectively process &amp; administer payroll &amp; employee benefit </w:t>
            </w:r>
            <w:r w:rsidR="006D6BB9" w:rsidRPr="00771E29">
              <w:rPr>
                <w:color w:val="auto"/>
                <w:sz w:val="20"/>
                <w:szCs w:val="20"/>
              </w:rPr>
              <w:t>plans, including</w:t>
            </w:r>
            <w:r w:rsidRPr="00771E29">
              <w:rPr>
                <w:color w:val="auto"/>
                <w:sz w:val="20"/>
                <w:szCs w:val="20"/>
              </w:rPr>
              <w:t xml:space="preserve"> leaves of </w:t>
            </w:r>
            <w:r w:rsidR="006D6BB9" w:rsidRPr="00771E29">
              <w:rPr>
                <w:color w:val="auto"/>
                <w:sz w:val="20"/>
                <w:szCs w:val="20"/>
              </w:rPr>
              <w:t>absence, group</w:t>
            </w:r>
            <w:r w:rsidRPr="00771E29">
              <w:rPr>
                <w:color w:val="auto"/>
                <w:sz w:val="20"/>
                <w:szCs w:val="20"/>
              </w:rPr>
              <w:t xml:space="preserve"> health insurance, </w:t>
            </w:r>
            <w:proofErr w:type="gramStart"/>
            <w:r w:rsidR="006D6BB9" w:rsidRPr="00771E29">
              <w:rPr>
                <w:color w:val="auto"/>
                <w:sz w:val="20"/>
                <w:szCs w:val="20"/>
              </w:rPr>
              <w:t xml:space="preserve">retirement,  </w:t>
            </w:r>
            <w:r w:rsidRPr="00771E29">
              <w:rPr>
                <w:color w:val="auto"/>
                <w:sz w:val="20"/>
                <w:szCs w:val="20"/>
              </w:rPr>
              <w:t>etc.</w:t>
            </w:r>
            <w:proofErr w:type="gramEnd"/>
            <w:r w:rsidRPr="00771E29">
              <w:rPr>
                <w:color w:val="auto"/>
                <w:sz w:val="20"/>
                <w:szCs w:val="20"/>
              </w:rPr>
              <w:t xml:space="preserve"> (3)  manage &amp; evaluate staffing, including job  performance of individual employees</w:t>
            </w:r>
            <w:r>
              <w:rPr>
                <w:color w:val="auto"/>
                <w:sz w:val="20"/>
                <w:szCs w:val="20"/>
              </w:rPr>
              <w:t>.</w:t>
            </w:r>
          </w:p>
        </w:tc>
      </w:tr>
    </w:tbl>
    <w:p w14:paraId="29635A04" w14:textId="657D8518" w:rsidR="00731517" w:rsidRDefault="00731517"/>
    <w:p w14:paraId="3AA969A4" w14:textId="77777777" w:rsidR="00A2457E" w:rsidRPr="00A2457E" w:rsidRDefault="00A2457E" w:rsidP="00A2457E">
      <w:pPr>
        <w:rPr>
          <w:rFonts w:ascii="Arial" w:hAnsi="Arial" w:cs="Arial"/>
          <w:b/>
          <w:sz w:val="36"/>
          <w:szCs w:val="36"/>
        </w:rPr>
      </w:pPr>
      <w:r w:rsidRPr="00A2457E">
        <w:rPr>
          <w:rFonts w:ascii="Arial" w:hAnsi="Arial" w:cs="Arial"/>
          <w:b/>
          <w:sz w:val="36"/>
          <w:szCs w:val="36"/>
        </w:rPr>
        <w:lastRenderedPageBreak/>
        <w:t>Your Rights and Choices</w:t>
      </w:r>
    </w:p>
    <w:p w14:paraId="1B9F1298" w14:textId="2C3363F8" w:rsidR="0067590F" w:rsidRPr="00B81AB4" w:rsidRDefault="00A2457E">
      <w:pPr>
        <w:rPr>
          <w:rFonts w:ascii="Arial" w:hAnsi="Arial" w:cs="Arial"/>
          <w:sz w:val="24"/>
          <w:szCs w:val="24"/>
        </w:rPr>
      </w:pPr>
      <w:r w:rsidRPr="00A2457E">
        <w:rPr>
          <w:rFonts w:ascii="Arial" w:hAnsi="Arial" w:cs="Arial"/>
          <w:sz w:val="24"/>
          <w:szCs w:val="24"/>
        </w:rPr>
        <w:t xml:space="preserve">The </w:t>
      </w:r>
      <w:r w:rsidR="00E31F67">
        <w:rPr>
          <w:rFonts w:ascii="Arial" w:hAnsi="Arial" w:cs="Arial"/>
          <w:sz w:val="24"/>
          <w:szCs w:val="24"/>
        </w:rPr>
        <w:t>CCPA</w:t>
      </w:r>
      <w:r w:rsidRPr="00A2457E">
        <w:rPr>
          <w:rFonts w:ascii="Arial" w:hAnsi="Arial" w:cs="Arial"/>
          <w:sz w:val="24"/>
          <w:szCs w:val="24"/>
        </w:rPr>
        <w:t xml:space="preserve"> provides California </w:t>
      </w:r>
      <w:r w:rsidRPr="005F54C1">
        <w:rPr>
          <w:rFonts w:ascii="Arial" w:hAnsi="Arial" w:cs="Arial"/>
          <w:sz w:val="24"/>
          <w:szCs w:val="24"/>
        </w:rPr>
        <w:t>employees</w:t>
      </w:r>
      <w:r w:rsidRPr="00A2457E">
        <w:rPr>
          <w:rFonts w:ascii="Arial" w:hAnsi="Arial" w:cs="Arial"/>
          <w:sz w:val="24"/>
          <w:szCs w:val="24"/>
        </w:rPr>
        <w:t xml:space="preserve"> with certain rights regarding their personal information. This chart describes those rights and certain limitations to those rights.</w:t>
      </w:r>
    </w:p>
    <w:tbl>
      <w:tblPr>
        <w:tblStyle w:val="TableGrid"/>
        <w:tblW w:w="0" w:type="auto"/>
        <w:tblLook w:val="04A0" w:firstRow="1" w:lastRow="0" w:firstColumn="1" w:lastColumn="0" w:noHBand="0" w:noVBand="1"/>
      </w:tblPr>
      <w:tblGrid>
        <w:gridCol w:w="2065"/>
        <w:gridCol w:w="7285"/>
      </w:tblGrid>
      <w:tr w:rsidR="0067590F" w:rsidRPr="0067590F" w14:paraId="1CDA69C4" w14:textId="77777777" w:rsidTr="00F609DE">
        <w:tc>
          <w:tcPr>
            <w:tcW w:w="2065" w:type="dxa"/>
          </w:tcPr>
          <w:p w14:paraId="498F6EB4" w14:textId="77777777" w:rsidR="0067590F" w:rsidRPr="0067590F" w:rsidRDefault="0067590F" w:rsidP="0067590F">
            <w:pPr>
              <w:rPr>
                <w:b/>
                <w:bCs/>
              </w:rPr>
            </w:pPr>
            <w:r w:rsidRPr="0067590F">
              <w:rPr>
                <w:b/>
                <w:bCs/>
              </w:rPr>
              <w:t>Right</w:t>
            </w:r>
          </w:p>
        </w:tc>
        <w:tc>
          <w:tcPr>
            <w:tcW w:w="7285" w:type="dxa"/>
          </w:tcPr>
          <w:p w14:paraId="1E96DE49" w14:textId="77777777" w:rsidR="0067590F" w:rsidRPr="0067590F" w:rsidRDefault="0067590F" w:rsidP="0067590F">
            <w:pPr>
              <w:rPr>
                <w:b/>
                <w:bCs/>
              </w:rPr>
            </w:pPr>
            <w:r w:rsidRPr="0067590F">
              <w:rPr>
                <w:b/>
                <w:bCs/>
              </w:rPr>
              <w:t>What This Means</w:t>
            </w:r>
          </w:p>
        </w:tc>
      </w:tr>
      <w:tr w:rsidR="0067590F" w:rsidRPr="0067590F" w14:paraId="57D1BB8E" w14:textId="77777777" w:rsidTr="00F609DE">
        <w:tc>
          <w:tcPr>
            <w:tcW w:w="2065" w:type="dxa"/>
          </w:tcPr>
          <w:p w14:paraId="0218567A" w14:textId="77777777" w:rsidR="0067590F" w:rsidRPr="0067590F" w:rsidRDefault="0067590F" w:rsidP="0067590F">
            <w:r w:rsidRPr="0067590F">
              <w:t>Notice</w:t>
            </w:r>
          </w:p>
        </w:tc>
        <w:tc>
          <w:tcPr>
            <w:tcW w:w="7285" w:type="dxa"/>
          </w:tcPr>
          <w:p w14:paraId="7ABA4ABA" w14:textId="7D73D9E2" w:rsidR="0067590F" w:rsidRPr="0067590F" w:rsidRDefault="0067590F" w:rsidP="0067590F">
            <w:r w:rsidRPr="0067590F">
              <w:t xml:space="preserve">At or before the time </w:t>
            </w:r>
            <w:r w:rsidR="005A1999">
              <w:t xml:space="preserve">of </w:t>
            </w:r>
            <w:r w:rsidRPr="0067590F">
              <w:t xml:space="preserve">your </w:t>
            </w:r>
            <w:r w:rsidR="008433F7">
              <w:t xml:space="preserve">employment, </w:t>
            </w:r>
            <w:r w:rsidRPr="0067590F">
              <w:t>personal information is collected, you will be given</w:t>
            </w:r>
            <w:r w:rsidR="00E31F67">
              <w:t xml:space="preserve"> or be able to access information </w:t>
            </w:r>
            <w:r w:rsidR="002D385C">
              <w:t>regarding</w:t>
            </w:r>
            <w:r w:rsidR="002D385C" w:rsidRPr="0067590F">
              <w:t xml:space="preserve"> the</w:t>
            </w:r>
            <w:r w:rsidRPr="0067590F">
              <w:t xml:space="preserve"> categories of personal information to be collected and the purposes for which the categories of personal information will be used</w:t>
            </w:r>
            <w:r w:rsidR="00E31F67">
              <w:t xml:space="preserve"> and whether that information will be sold or shared</w:t>
            </w:r>
            <w:r w:rsidRPr="0067590F">
              <w:t>.</w:t>
            </w:r>
          </w:p>
        </w:tc>
      </w:tr>
      <w:tr w:rsidR="0067590F" w:rsidRPr="0067590F" w14:paraId="34F4D62C" w14:textId="77777777" w:rsidTr="00F609DE">
        <w:tc>
          <w:tcPr>
            <w:tcW w:w="2065" w:type="dxa"/>
          </w:tcPr>
          <w:p w14:paraId="24151C6A" w14:textId="77777777" w:rsidR="0067590F" w:rsidRPr="0067590F" w:rsidRDefault="0067590F" w:rsidP="0067590F">
            <w:r w:rsidRPr="0067590F">
              <w:t>Access</w:t>
            </w:r>
          </w:p>
        </w:tc>
        <w:tc>
          <w:tcPr>
            <w:tcW w:w="7285" w:type="dxa"/>
          </w:tcPr>
          <w:p w14:paraId="05D419F7" w14:textId="70710561" w:rsidR="0067590F" w:rsidRPr="0067590F" w:rsidRDefault="0067590F" w:rsidP="0067590F">
            <w:r w:rsidRPr="0067590F">
              <w:t xml:space="preserve">At your verifiable request, but no more than twice in a twelve month period, we shall disclose to you: </w:t>
            </w:r>
            <w:bookmarkStart w:id="0" w:name="_Hlk25070936"/>
            <w:r w:rsidRPr="0067590F">
              <w:t xml:space="preserve">1) the categories of personal information we have collected about you, 2) the categories of sources for the personal information we collected about you, 3) our business </w:t>
            </w:r>
            <w:r w:rsidR="00E31F67">
              <w:t>or</w:t>
            </w:r>
            <w:r w:rsidR="00E31F67" w:rsidRPr="0067590F">
              <w:t xml:space="preserve"> </w:t>
            </w:r>
            <w:r w:rsidRPr="0067590F">
              <w:t>commercial purpose for collecting</w:t>
            </w:r>
            <w:r w:rsidR="00E31F67">
              <w:t>,</w:t>
            </w:r>
            <w:r w:rsidRPr="0067590F">
              <w:t xml:space="preserve"> selling </w:t>
            </w:r>
            <w:r w:rsidR="00E31F67">
              <w:t xml:space="preserve">or sharing </w:t>
            </w:r>
            <w:r w:rsidRPr="0067590F">
              <w:t xml:space="preserve">your personal information, 4) the categories of third parties </w:t>
            </w:r>
            <w:r w:rsidR="00E31F67">
              <w:t>to</w:t>
            </w:r>
            <w:r w:rsidR="00E31F67" w:rsidRPr="0067590F">
              <w:t xml:space="preserve"> </w:t>
            </w:r>
            <w:r w:rsidRPr="0067590F">
              <w:t xml:space="preserve">whom we </w:t>
            </w:r>
            <w:r w:rsidR="00E31F67">
              <w:t>disclose</w:t>
            </w:r>
            <w:r w:rsidR="00E31F67" w:rsidRPr="0067590F">
              <w:t xml:space="preserve"> </w:t>
            </w:r>
            <w:r w:rsidRPr="0067590F">
              <w:t xml:space="preserve">your personal information, 5) </w:t>
            </w:r>
            <w:r w:rsidR="00E31F67">
              <w:t>t</w:t>
            </w:r>
            <w:r w:rsidR="00E31F67" w:rsidRPr="0067590F">
              <w:t xml:space="preserve">he </w:t>
            </w:r>
            <w:r w:rsidRPr="0067590F">
              <w:t>specific pieces of information we have collected about you, 6) the categories of personal information disclosed</w:t>
            </w:r>
            <w:r w:rsidR="00E31F67">
              <w:t xml:space="preserve"> about you</w:t>
            </w:r>
            <w:r w:rsidRPr="0067590F">
              <w:t xml:space="preserve"> for a business purpose</w:t>
            </w:r>
            <w:r w:rsidR="00E31F67">
              <w:t xml:space="preserve"> and the categories of persons to whom your personal information was disclosed for a business purpose</w:t>
            </w:r>
            <w:r w:rsidRPr="0067590F">
              <w:t xml:space="preserve">, and 7) </w:t>
            </w:r>
            <w:r w:rsidR="00E31F67">
              <w:t>i</w:t>
            </w:r>
            <w:r w:rsidRPr="0067590F">
              <w:t xml:space="preserve">f we sold </w:t>
            </w:r>
            <w:r w:rsidR="001644B1">
              <w:t xml:space="preserve">or shared </w:t>
            </w:r>
            <w:r w:rsidRPr="0067590F">
              <w:t>personal information, the categories of personal information sold and the categories of third parties to whom it was sold</w:t>
            </w:r>
            <w:r w:rsidR="001644B1">
              <w:t xml:space="preserve"> or shared</w:t>
            </w:r>
            <w:r w:rsidRPr="0067590F">
              <w:t xml:space="preserve">. </w:t>
            </w:r>
            <w:bookmarkEnd w:id="0"/>
          </w:p>
        </w:tc>
      </w:tr>
      <w:tr w:rsidR="0067590F" w:rsidRPr="0067590F" w14:paraId="7A492443" w14:textId="77777777" w:rsidTr="00F609DE">
        <w:tc>
          <w:tcPr>
            <w:tcW w:w="2065" w:type="dxa"/>
          </w:tcPr>
          <w:p w14:paraId="2FC92DBA" w14:textId="77777777" w:rsidR="0067590F" w:rsidRPr="0067590F" w:rsidRDefault="0067590F" w:rsidP="0067590F">
            <w:r w:rsidRPr="0067590F">
              <w:t xml:space="preserve">Deletion </w:t>
            </w:r>
          </w:p>
        </w:tc>
        <w:tc>
          <w:tcPr>
            <w:tcW w:w="7285" w:type="dxa"/>
          </w:tcPr>
          <w:p w14:paraId="53EC06F2" w14:textId="05606E00" w:rsidR="0067590F" w:rsidRPr="0067590F" w:rsidRDefault="0067590F" w:rsidP="0067590F">
            <w:r w:rsidRPr="0067590F">
              <w:t>You have the right to request that we delete any of your personal information that we collected from you, subject to certain exceptions. Once we receive and verify your request, we will delete (and direct our service providers</w:t>
            </w:r>
            <w:r w:rsidR="001644B1">
              <w:t xml:space="preserve"> and contractors</w:t>
            </w:r>
            <w:r w:rsidRPr="0067590F">
              <w:t xml:space="preserve"> to delete) your personal information from our records unless an exception applies. We may deny your request if retention of the information is necessary for us or our service providers </w:t>
            </w:r>
            <w:r w:rsidR="001644B1">
              <w:t xml:space="preserve">or contractors </w:t>
            </w:r>
            <w:r w:rsidRPr="0067590F">
              <w:t>to:</w:t>
            </w:r>
          </w:p>
          <w:p w14:paraId="20D34B9B" w14:textId="152ABBAE" w:rsidR="0067590F" w:rsidRPr="0067590F" w:rsidRDefault="008A6745" w:rsidP="0067590F">
            <w:pPr>
              <w:numPr>
                <w:ilvl w:val="0"/>
                <w:numId w:val="2"/>
              </w:numPr>
            </w:pPr>
            <w:r>
              <w:t>P</w:t>
            </w:r>
            <w:r w:rsidR="0067590F" w:rsidRPr="0067590F">
              <w:t>rovide a good or service that you requested, take actions reasonably anticipated within the context of our ongoing business relationship with you, or otherwise perform our contract with you.</w:t>
            </w:r>
          </w:p>
          <w:p w14:paraId="65083D0B" w14:textId="31DF5F43" w:rsidR="0067590F" w:rsidRPr="0067590F" w:rsidRDefault="001644B1" w:rsidP="0067590F">
            <w:pPr>
              <w:numPr>
                <w:ilvl w:val="0"/>
                <w:numId w:val="2"/>
              </w:numPr>
            </w:pPr>
            <w:r>
              <w:t>Help to ensure security and integrity to the extent the use of your personal information is reasonably necessary and proportionate to that purpose</w:t>
            </w:r>
            <w:r w:rsidR="0067590F" w:rsidRPr="0067590F">
              <w:t>.</w:t>
            </w:r>
          </w:p>
          <w:p w14:paraId="081AB0A2" w14:textId="615653FF" w:rsidR="0067590F" w:rsidRPr="0067590F" w:rsidRDefault="0067590F" w:rsidP="0067590F">
            <w:pPr>
              <w:numPr>
                <w:ilvl w:val="0"/>
                <w:numId w:val="2"/>
              </w:numPr>
            </w:pPr>
            <w:r w:rsidRPr="0067590F">
              <w:t>Debug to identify and repair errors that impair existing intended functionality.</w:t>
            </w:r>
          </w:p>
          <w:p w14:paraId="02F6DDF8" w14:textId="57815F0F" w:rsidR="0067590F" w:rsidRPr="0067590F" w:rsidRDefault="0067590F" w:rsidP="0067590F">
            <w:pPr>
              <w:numPr>
                <w:ilvl w:val="0"/>
                <w:numId w:val="2"/>
              </w:numPr>
            </w:pPr>
            <w:r w:rsidRPr="0067590F">
              <w:t>Exercise free speech, ensure the right of another to exercise their free speech rights, or exercise another right provided for by law.</w:t>
            </w:r>
          </w:p>
          <w:p w14:paraId="53AE1F86" w14:textId="77777777" w:rsidR="0067590F" w:rsidRPr="0067590F" w:rsidRDefault="0067590F" w:rsidP="0067590F">
            <w:pPr>
              <w:numPr>
                <w:ilvl w:val="0"/>
                <w:numId w:val="2"/>
              </w:numPr>
            </w:pPr>
            <w:r w:rsidRPr="0067590F">
              <w:lastRenderedPageBreak/>
              <w:t>Comply with the California Electronic Communications Privacy Act (Cal. Penal Code §1546 et seq.)</w:t>
            </w:r>
          </w:p>
          <w:p w14:paraId="59FC4CDE" w14:textId="2B8ED8A9" w:rsidR="0067590F" w:rsidRPr="0067590F" w:rsidRDefault="0067590F" w:rsidP="0067590F">
            <w:pPr>
              <w:numPr>
                <w:ilvl w:val="0"/>
                <w:numId w:val="2"/>
              </w:numPr>
            </w:pPr>
            <w:r w:rsidRPr="0067590F">
              <w:t xml:space="preserve">Engage in public or peer reviewed scientific, historical, or statistical research that </w:t>
            </w:r>
            <w:r w:rsidR="001644B1">
              <w:t xml:space="preserve">conforms or </w:t>
            </w:r>
            <w:r w:rsidR="002D385C" w:rsidRPr="0067590F">
              <w:t>adheres to</w:t>
            </w:r>
            <w:r w:rsidRPr="0067590F">
              <w:t xml:space="preserve"> all other applicable ethics and privacy laws, when the information’s deletion </w:t>
            </w:r>
            <w:r w:rsidR="005D6E9C">
              <w:t>is</w:t>
            </w:r>
            <w:r w:rsidR="005D6E9C" w:rsidRPr="0067590F">
              <w:t xml:space="preserve"> </w:t>
            </w:r>
            <w:r w:rsidRPr="0067590F">
              <w:t xml:space="preserve">likely </w:t>
            </w:r>
            <w:r w:rsidR="005D6E9C">
              <w:t xml:space="preserve">to </w:t>
            </w:r>
            <w:r w:rsidRPr="0067590F">
              <w:t xml:space="preserve">render impossible or seriously impair the research’s </w:t>
            </w:r>
            <w:r w:rsidR="005D6E9C">
              <w:t>completion</w:t>
            </w:r>
            <w:r w:rsidRPr="0067590F">
              <w:t xml:space="preserve">, if you previously provided informed consent. </w:t>
            </w:r>
          </w:p>
          <w:p w14:paraId="3F1DD4CA" w14:textId="69B25025" w:rsidR="0067590F" w:rsidRPr="0067590F" w:rsidRDefault="0067590F" w:rsidP="0067590F">
            <w:pPr>
              <w:numPr>
                <w:ilvl w:val="0"/>
                <w:numId w:val="2"/>
              </w:numPr>
            </w:pPr>
            <w:r w:rsidRPr="0067590F">
              <w:t>Enable solely internal uses that are reasonably aligned with consumer expectations based on your relationship with us</w:t>
            </w:r>
            <w:r w:rsidR="005D6E9C">
              <w:t xml:space="preserve"> and compatible with the context in which you provided the information</w:t>
            </w:r>
            <w:r w:rsidRPr="0067590F">
              <w:t xml:space="preserve">. </w:t>
            </w:r>
          </w:p>
          <w:p w14:paraId="767911B0" w14:textId="77777777" w:rsidR="0067590F" w:rsidRPr="0067590F" w:rsidRDefault="0067590F" w:rsidP="0067590F">
            <w:pPr>
              <w:numPr>
                <w:ilvl w:val="0"/>
                <w:numId w:val="2"/>
              </w:numPr>
            </w:pPr>
            <w:r w:rsidRPr="0067590F">
              <w:t>Comply with a legal obligation.</w:t>
            </w:r>
          </w:p>
          <w:p w14:paraId="621C7F36" w14:textId="1505FF7F" w:rsidR="0067590F" w:rsidRPr="0067590F" w:rsidRDefault="0067590F" w:rsidP="0067590F">
            <w:pPr>
              <w:numPr>
                <w:ilvl w:val="0"/>
                <w:numId w:val="2"/>
              </w:numPr>
            </w:pPr>
            <w:r w:rsidRPr="0067590F">
              <w:t xml:space="preserve">Or if it is the type of personal information that falls outside the scope of the </w:t>
            </w:r>
            <w:r w:rsidR="00E31F67">
              <w:t>CCPA</w:t>
            </w:r>
            <w:r w:rsidRPr="0067590F">
              <w:t>, (HIPAA, CIMA, GLBA, or publicly available information)</w:t>
            </w:r>
            <w:r w:rsidR="006B1B17">
              <w:t>.</w:t>
            </w:r>
            <w:r w:rsidRPr="0067590F">
              <w:t xml:space="preserve"> </w:t>
            </w:r>
          </w:p>
        </w:tc>
      </w:tr>
      <w:tr w:rsidR="005D6E9C" w:rsidRPr="0067590F" w14:paraId="20EFB239" w14:textId="77777777" w:rsidTr="00F609DE">
        <w:tc>
          <w:tcPr>
            <w:tcW w:w="2065" w:type="dxa"/>
          </w:tcPr>
          <w:p w14:paraId="61307E1D" w14:textId="29D77704" w:rsidR="005D6E9C" w:rsidRPr="0067590F" w:rsidRDefault="005D6E9C" w:rsidP="0067590F">
            <w:r>
              <w:lastRenderedPageBreak/>
              <w:t>Correct</w:t>
            </w:r>
          </w:p>
        </w:tc>
        <w:tc>
          <w:tcPr>
            <w:tcW w:w="7285" w:type="dxa"/>
          </w:tcPr>
          <w:p w14:paraId="1C631A2B" w14:textId="15F68279" w:rsidR="005D6E9C" w:rsidRPr="0067590F" w:rsidRDefault="005D6E9C" w:rsidP="0067590F">
            <w:r>
              <w:t xml:space="preserve">You have the right to request that we correct inaccurate personal information about you, </w:t>
            </w:r>
            <w:proofErr w:type="gramStart"/>
            <w:r>
              <w:t>taking into account</w:t>
            </w:r>
            <w:proofErr w:type="gramEnd"/>
            <w:r>
              <w:t xml:space="preserve"> the nature of the personal information and the purposes of the processing of the personal information.  After we receive and verify your request, we will use commercially reasonable efforts to correct the inaccurate personal information as directed by you.</w:t>
            </w:r>
          </w:p>
        </w:tc>
      </w:tr>
      <w:tr w:rsidR="0067590F" w:rsidRPr="0067590F" w14:paraId="2DEE46F7" w14:textId="77777777" w:rsidTr="00F609DE">
        <w:tc>
          <w:tcPr>
            <w:tcW w:w="2065" w:type="dxa"/>
          </w:tcPr>
          <w:p w14:paraId="7B8AB442" w14:textId="6B77CB5A" w:rsidR="002F0912" w:rsidRPr="0067590F" w:rsidRDefault="0067590F" w:rsidP="0067590F">
            <w:bookmarkStart w:id="1" w:name="_Hlk25071130"/>
            <w:r w:rsidRPr="0067590F">
              <w:t>Opt-Out of Sale</w:t>
            </w:r>
            <w:bookmarkEnd w:id="1"/>
            <w:r w:rsidR="005D6E9C">
              <w:t xml:space="preserve"> or Sharing</w:t>
            </w:r>
          </w:p>
          <w:p w14:paraId="53194FA2" w14:textId="77777777" w:rsidR="0067590F" w:rsidRPr="0067590F" w:rsidRDefault="0067590F" w:rsidP="0067590F"/>
          <w:p w14:paraId="0D10D6AF" w14:textId="0A7575C8" w:rsidR="0067590F" w:rsidRPr="0067590F" w:rsidRDefault="0067590F" w:rsidP="0067590F">
            <w:bookmarkStart w:id="2" w:name="_Hlk25071144"/>
            <w:r w:rsidRPr="0067590F">
              <w:t>Opt-In to Sale</w:t>
            </w:r>
            <w:bookmarkEnd w:id="2"/>
            <w:r w:rsidR="005D6E9C">
              <w:t xml:space="preserve"> or Sharing</w:t>
            </w:r>
          </w:p>
        </w:tc>
        <w:tc>
          <w:tcPr>
            <w:tcW w:w="7285" w:type="dxa"/>
          </w:tcPr>
          <w:p w14:paraId="179A1A4A" w14:textId="41C09E69" w:rsidR="0067590F" w:rsidRPr="0067590F" w:rsidRDefault="0067590F" w:rsidP="0067590F">
            <w:r w:rsidRPr="0067590F">
              <w:t xml:space="preserve">With some limitations, you may direct a business that sells </w:t>
            </w:r>
            <w:r w:rsidR="005D6E9C">
              <w:t xml:space="preserve">or shares </w:t>
            </w:r>
            <w:r w:rsidRPr="0067590F">
              <w:t>personal information to third parties not to sell</w:t>
            </w:r>
            <w:r w:rsidR="005D6E9C">
              <w:t xml:space="preserve"> or share</w:t>
            </w:r>
            <w:r w:rsidRPr="0067590F">
              <w:t xml:space="preserve"> the personal information to these third parties.</w:t>
            </w:r>
          </w:p>
          <w:p w14:paraId="0DEF3C70" w14:textId="7428FDF1" w:rsidR="0067590F" w:rsidRPr="0067590F" w:rsidRDefault="0067590F" w:rsidP="0067590F">
            <w:r w:rsidRPr="0067590F">
              <w:t xml:space="preserve">A business may not sell </w:t>
            </w:r>
            <w:r w:rsidR="005D6E9C">
              <w:t xml:space="preserve">or share </w:t>
            </w:r>
            <w:r w:rsidRPr="0067590F">
              <w:t>the personal information of persons less than sixteen years of age without their affirmative consent, and in the case of those less than thirteen years of age, the consent must come from a parent.</w:t>
            </w:r>
          </w:p>
        </w:tc>
      </w:tr>
      <w:tr w:rsidR="005D6E9C" w:rsidRPr="0067590F" w14:paraId="3FA2C8DF" w14:textId="77777777" w:rsidTr="00F609DE">
        <w:tc>
          <w:tcPr>
            <w:tcW w:w="2065" w:type="dxa"/>
          </w:tcPr>
          <w:p w14:paraId="4DDA3349" w14:textId="66034353" w:rsidR="005D6E9C" w:rsidRPr="0067590F" w:rsidRDefault="005D6E9C" w:rsidP="0067590F">
            <w:r>
              <w:t>Limit Use of Sensitive Personal Information</w:t>
            </w:r>
          </w:p>
        </w:tc>
        <w:tc>
          <w:tcPr>
            <w:tcW w:w="7285" w:type="dxa"/>
          </w:tcPr>
          <w:p w14:paraId="46EE50E9" w14:textId="474BF956" w:rsidR="005D6E9C" w:rsidRPr="0067590F" w:rsidRDefault="005D6E9C" w:rsidP="0067590F">
            <w:r>
              <w:t>You may direct a business to limit the use of your sensitive personal information to that use which is necessary to perform the services or provide the goods reasonably expected by an average consumer who requests those good or services</w:t>
            </w:r>
            <w:r w:rsidR="006B1B17">
              <w:t xml:space="preserve"> and certain other limited uses as described in the CCPA and applicable regulations.</w:t>
            </w:r>
          </w:p>
        </w:tc>
      </w:tr>
      <w:tr w:rsidR="0067590F" w:rsidRPr="0067590F" w14:paraId="44C64015" w14:textId="77777777" w:rsidTr="00F609DE">
        <w:tc>
          <w:tcPr>
            <w:tcW w:w="2065" w:type="dxa"/>
          </w:tcPr>
          <w:p w14:paraId="29254700" w14:textId="77777777" w:rsidR="0067590F" w:rsidRPr="0067590F" w:rsidRDefault="0067590F" w:rsidP="0067590F">
            <w:r w:rsidRPr="0067590F">
              <w:t>Non-Discrimination</w:t>
            </w:r>
          </w:p>
        </w:tc>
        <w:tc>
          <w:tcPr>
            <w:tcW w:w="7285" w:type="dxa"/>
          </w:tcPr>
          <w:p w14:paraId="1621999A" w14:textId="78EEE166" w:rsidR="0067590F" w:rsidRPr="0067590F" w:rsidRDefault="0067590F" w:rsidP="0067590F">
            <w:r w:rsidRPr="0067590F">
              <w:t xml:space="preserve">We will not discriminate against you for exercising your rights under the </w:t>
            </w:r>
            <w:r w:rsidR="00E31F67">
              <w:t>CCPA</w:t>
            </w:r>
            <w:r w:rsidRPr="0067590F">
              <w:t xml:space="preserve">. Unless otherwise permitted by the </w:t>
            </w:r>
            <w:r w:rsidR="00E31F67">
              <w:t>CCPA</w:t>
            </w:r>
            <w:r w:rsidRPr="0067590F">
              <w:t xml:space="preserve"> we will not:</w:t>
            </w:r>
          </w:p>
          <w:p w14:paraId="220E712E" w14:textId="7E5400FB" w:rsidR="0067590F" w:rsidRPr="0067590F" w:rsidRDefault="0067590F" w:rsidP="0067590F">
            <w:pPr>
              <w:numPr>
                <w:ilvl w:val="0"/>
                <w:numId w:val="3"/>
              </w:numPr>
            </w:pPr>
            <w:r w:rsidRPr="0067590F">
              <w:t>Deny you goods or service</w:t>
            </w:r>
            <w:r w:rsidR="006B1B17">
              <w:t>.</w:t>
            </w:r>
          </w:p>
          <w:p w14:paraId="1F18A916" w14:textId="02E9F6C1" w:rsidR="0067590F" w:rsidRPr="0067590F" w:rsidRDefault="0067590F" w:rsidP="0067590F">
            <w:pPr>
              <w:numPr>
                <w:ilvl w:val="0"/>
                <w:numId w:val="3"/>
              </w:numPr>
            </w:pPr>
            <w:r w:rsidRPr="0067590F">
              <w:t>Charge you different prices or rates for goods or services, including through granting discounts or other benefits, or imposing penalties</w:t>
            </w:r>
            <w:r w:rsidR="006B1B17">
              <w:t>.</w:t>
            </w:r>
          </w:p>
          <w:p w14:paraId="101B6D63" w14:textId="7F49FA7D" w:rsidR="0067590F" w:rsidRPr="0067590F" w:rsidRDefault="0067590F" w:rsidP="0067590F">
            <w:pPr>
              <w:numPr>
                <w:ilvl w:val="0"/>
                <w:numId w:val="3"/>
              </w:numPr>
            </w:pPr>
            <w:r w:rsidRPr="0067590F">
              <w:t>Provide a different level or quality of goods or services</w:t>
            </w:r>
            <w:r w:rsidR="006B1B17">
              <w:t>.</w:t>
            </w:r>
          </w:p>
          <w:p w14:paraId="074031E1" w14:textId="60F15348" w:rsidR="0067590F" w:rsidRPr="0067590F" w:rsidRDefault="0067590F" w:rsidP="0067590F">
            <w:pPr>
              <w:numPr>
                <w:ilvl w:val="0"/>
                <w:numId w:val="3"/>
              </w:numPr>
            </w:pPr>
            <w:r w:rsidRPr="0067590F">
              <w:t>Suggest that you will receive a different price or rate for goods or services or a different level or quality of goods or services</w:t>
            </w:r>
            <w:r w:rsidR="006B1B17">
              <w:t>.</w:t>
            </w:r>
          </w:p>
        </w:tc>
      </w:tr>
    </w:tbl>
    <w:p w14:paraId="4C9D4C93" w14:textId="77777777" w:rsidR="0067590F" w:rsidRDefault="0067590F"/>
    <w:p w14:paraId="23A80B25" w14:textId="77777777" w:rsidR="003A2F48" w:rsidRPr="00551754" w:rsidRDefault="003A2F48" w:rsidP="003A2F48">
      <w:pPr>
        <w:pStyle w:val="Heading1"/>
        <w:rPr>
          <w:sz w:val="36"/>
          <w:szCs w:val="36"/>
        </w:rPr>
      </w:pPr>
      <w:r w:rsidRPr="00551754">
        <w:rPr>
          <w:sz w:val="36"/>
          <w:szCs w:val="36"/>
        </w:rPr>
        <w:t>Our Retention of Your Personal Information</w:t>
      </w:r>
    </w:p>
    <w:p w14:paraId="00C046D6" w14:textId="77777777" w:rsidR="003A2F48" w:rsidRDefault="003A2F48" w:rsidP="003A2F48">
      <w:pPr>
        <w:pStyle w:val="Heading1"/>
      </w:pPr>
    </w:p>
    <w:p w14:paraId="6B6A42A7" w14:textId="572480B4" w:rsidR="003A2F48" w:rsidRDefault="003A2F48" w:rsidP="003A2F48">
      <w:pPr>
        <w:pStyle w:val="Heading1"/>
        <w:rPr>
          <w:b w:val="0"/>
          <w:bCs w:val="0"/>
          <w:sz w:val="24"/>
          <w:szCs w:val="24"/>
        </w:rPr>
      </w:pPr>
      <w:r>
        <w:rPr>
          <w:b w:val="0"/>
          <w:bCs w:val="0"/>
          <w:sz w:val="24"/>
          <w:szCs w:val="24"/>
        </w:rPr>
        <w:t xml:space="preserve">The length of time that we retain personal information largely depends upon the purpose for which the information was collected rather than the category of the information as set forth in this Notice.  </w:t>
      </w:r>
      <w:r w:rsidR="00551754">
        <w:rPr>
          <w:b w:val="0"/>
          <w:bCs w:val="0"/>
          <w:sz w:val="24"/>
          <w:szCs w:val="24"/>
        </w:rPr>
        <w:t>P</w:t>
      </w:r>
      <w:r>
        <w:rPr>
          <w:b w:val="0"/>
          <w:bCs w:val="0"/>
          <w:sz w:val="24"/>
          <w:szCs w:val="24"/>
        </w:rPr>
        <w:t xml:space="preserve">ersonal information collected with respect to </w:t>
      </w:r>
      <w:r w:rsidR="002A4074">
        <w:rPr>
          <w:b w:val="0"/>
          <w:bCs w:val="0"/>
          <w:sz w:val="24"/>
          <w:szCs w:val="24"/>
        </w:rPr>
        <w:t xml:space="preserve">prospective </w:t>
      </w:r>
      <w:r>
        <w:rPr>
          <w:b w:val="0"/>
          <w:bCs w:val="0"/>
          <w:sz w:val="24"/>
          <w:szCs w:val="24"/>
        </w:rPr>
        <w:t>employees is generally retained for periods of time that permit the company to meet its</w:t>
      </w:r>
      <w:r w:rsidR="00551754">
        <w:rPr>
          <w:b w:val="0"/>
          <w:bCs w:val="0"/>
          <w:sz w:val="24"/>
          <w:szCs w:val="24"/>
        </w:rPr>
        <w:t xml:space="preserve"> employment and benefits obligations, as well as</w:t>
      </w:r>
      <w:r>
        <w:rPr>
          <w:b w:val="0"/>
          <w:bCs w:val="0"/>
          <w:sz w:val="24"/>
          <w:szCs w:val="24"/>
        </w:rPr>
        <w:t xml:space="preserve"> legal and regulatory obligations.</w:t>
      </w:r>
      <w:r w:rsidR="00551754">
        <w:rPr>
          <w:b w:val="0"/>
          <w:bCs w:val="0"/>
          <w:sz w:val="24"/>
          <w:szCs w:val="24"/>
        </w:rPr>
        <w:t xml:space="preserve">  </w:t>
      </w:r>
    </w:p>
    <w:p w14:paraId="02FBDA59" w14:textId="12F431C5" w:rsidR="006B176A" w:rsidRDefault="006B176A" w:rsidP="003A2F48">
      <w:pPr>
        <w:pStyle w:val="Heading1"/>
        <w:rPr>
          <w:b w:val="0"/>
          <w:bCs w:val="0"/>
          <w:sz w:val="24"/>
          <w:szCs w:val="24"/>
        </w:rPr>
      </w:pPr>
    </w:p>
    <w:p w14:paraId="7954FF0D" w14:textId="77777777" w:rsidR="006B176A" w:rsidRPr="000F42E4" w:rsidRDefault="006B176A" w:rsidP="006B176A">
      <w:pPr>
        <w:pStyle w:val="Heading1"/>
        <w:rPr>
          <w:sz w:val="36"/>
          <w:szCs w:val="36"/>
        </w:rPr>
      </w:pPr>
      <w:r w:rsidRPr="000F42E4">
        <w:rPr>
          <w:sz w:val="36"/>
          <w:szCs w:val="36"/>
        </w:rPr>
        <w:t>To Exercise Your Rights</w:t>
      </w:r>
    </w:p>
    <w:p w14:paraId="4CC99BC5" w14:textId="77777777" w:rsidR="006B176A" w:rsidRPr="006B176A" w:rsidRDefault="006B176A" w:rsidP="006B176A">
      <w:pPr>
        <w:pStyle w:val="Heading1"/>
        <w:rPr>
          <w:sz w:val="24"/>
          <w:szCs w:val="24"/>
        </w:rPr>
      </w:pPr>
    </w:p>
    <w:p w14:paraId="6D69ACC1" w14:textId="77206FE1" w:rsidR="006B176A" w:rsidRPr="000F42E4" w:rsidRDefault="006B176A" w:rsidP="006B176A">
      <w:pPr>
        <w:pStyle w:val="Heading1"/>
        <w:rPr>
          <w:sz w:val="36"/>
          <w:szCs w:val="36"/>
        </w:rPr>
      </w:pPr>
      <w:bookmarkStart w:id="3" w:name="_Hlk19277642"/>
      <w:r w:rsidRPr="000F42E4">
        <w:rPr>
          <w:sz w:val="36"/>
          <w:szCs w:val="36"/>
        </w:rPr>
        <w:t>To Opt-out of the Sale</w:t>
      </w:r>
      <w:r w:rsidR="00953867">
        <w:rPr>
          <w:sz w:val="36"/>
          <w:szCs w:val="36"/>
        </w:rPr>
        <w:t xml:space="preserve"> or Sharing</w:t>
      </w:r>
      <w:r w:rsidRPr="000F42E4">
        <w:rPr>
          <w:sz w:val="36"/>
          <w:szCs w:val="36"/>
        </w:rPr>
        <w:t xml:space="preserve"> of Your Personal Information</w:t>
      </w:r>
    </w:p>
    <w:p w14:paraId="0A15604D" w14:textId="77777777" w:rsidR="006B176A" w:rsidRPr="006B176A" w:rsidRDefault="006B176A" w:rsidP="006B176A">
      <w:pPr>
        <w:pStyle w:val="Heading1"/>
        <w:rPr>
          <w:sz w:val="24"/>
          <w:szCs w:val="24"/>
        </w:rPr>
      </w:pPr>
    </w:p>
    <w:p w14:paraId="711C2AEF" w14:textId="45FFCC8E" w:rsidR="006B176A" w:rsidRPr="006B176A" w:rsidRDefault="006B176A" w:rsidP="006B176A">
      <w:pPr>
        <w:pStyle w:val="Heading1"/>
        <w:rPr>
          <w:sz w:val="24"/>
          <w:szCs w:val="24"/>
        </w:rPr>
      </w:pPr>
      <w:r w:rsidRPr="006B176A">
        <w:rPr>
          <w:sz w:val="24"/>
          <w:szCs w:val="24"/>
        </w:rPr>
        <w:t xml:space="preserve">The CCPA gives </w:t>
      </w:r>
      <w:r w:rsidR="00286E40" w:rsidRPr="00286E40">
        <w:rPr>
          <w:sz w:val="24"/>
          <w:szCs w:val="24"/>
        </w:rPr>
        <w:t xml:space="preserve">prospective </w:t>
      </w:r>
      <w:r w:rsidR="00F15766">
        <w:rPr>
          <w:sz w:val="24"/>
          <w:szCs w:val="24"/>
        </w:rPr>
        <w:t>employees</w:t>
      </w:r>
      <w:r w:rsidRPr="006B176A">
        <w:rPr>
          <w:sz w:val="24"/>
          <w:szCs w:val="24"/>
        </w:rPr>
        <w:t xml:space="preserve"> the right to direct a business that sells personal information about the </w:t>
      </w:r>
      <w:r w:rsidR="009B78C1">
        <w:rPr>
          <w:sz w:val="24"/>
          <w:szCs w:val="24"/>
        </w:rPr>
        <w:t xml:space="preserve">prospective </w:t>
      </w:r>
      <w:r w:rsidR="00F15766">
        <w:rPr>
          <w:sz w:val="24"/>
          <w:szCs w:val="24"/>
        </w:rPr>
        <w:t>employee</w:t>
      </w:r>
      <w:r w:rsidRPr="006B176A">
        <w:rPr>
          <w:sz w:val="24"/>
          <w:szCs w:val="24"/>
        </w:rPr>
        <w:t xml:space="preserve"> to third parties not to sell the </w:t>
      </w:r>
      <w:r w:rsidR="009B78C1">
        <w:rPr>
          <w:sz w:val="24"/>
          <w:szCs w:val="24"/>
        </w:rPr>
        <w:t xml:space="preserve">prospective </w:t>
      </w:r>
      <w:r w:rsidR="00F15766">
        <w:rPr>
          <w:sz w:val="24"/>
          <w:szCs w:val="24"/>
        </w:rPr>
        <w:t>employee’s</w:t>
      </w:r>
      <w:r w:rsidRPr="006B176A">
        <w:rPr>
          <w:sz w:val="24"/>
          <w:szCs w:val="24"/>
        </w:rPr>
        <w:t xml:space="preserve"> personal information. We do not sell and will not sell your personal information as that term is commonly understood. We also do not sell and will not sell your personal information, as that term is defined by the CCPA.</w:t>
      </w:r>
    </w:p>
    <w:bookmarkEnd w:id="3"/>
    <w:p w14:paraId="60A7FF2B" w14:textId="77777777" w:rsidR="006B176A" w:rsidRPr="006B176A" w:rsidRDefault="006B176A" w:rsidP="006B176A">
      <w:pPr>
        <w:pStyle w:val="Heading1"/>
        <w:rPr>
          <w:sz w:val="24"/>
          <w:szCs w:val="24"/>
        </w:rPr>
      </w:pPr>
    </w:p>
    <w:p w14:paraId="27F507A3" w14:textId="1F095A02" w:rsidR="006B176A" w:rsidRPr="000F42E4" w:rsidRDefault="006B176A" w:rsidP="006B176A">
      <w:pPr>
        <w:pStyle w:val="Heading1"/>
        <w:rPr>
          <w:sz w:val="36"/>
          <w:szCs w:val="36"/>
        </w:rPr>
      </w:pPr>
      <w:r w:rsidRPr="000F42E4">
        <w:rPr>
          <w:sz w:val="36"/>
          <w:szCs w:val="36"/>
        </w:rPr>
        <w:t>To Request Access to</w:t>
      </w:r>
      <w:r w:rsidR="00401F58" w:rsidRPr="000F42E4">
        <w:rPr>
          <w:sz w:val="36"/>
          <w:szCs w:val="36"/>
        </w:rPr>
        <w:t xml:space="preserve">, </w:t>
      </w:r>
      <w:r w:rsidR="007443E2" w:rsidRPr="000F42E4">
        <w:rPr>
          <w:sz w:val="36"/>
          <w:szCs w:val="36"/>
        </w:rPr>
        <w:t>Correction</w:t>
      </w:r>
      <w:r w:rsidRPr="000F42E4">
        <w:rPr>
          <w:sz w:val="36"/>
          <w:szCs w:val="36"/>
        </w:rPr>
        <w:t xml:space="preserve"> or Deletion of Your Personal Information</w:t>
      </w:r>
    </w:p>
    <w:p w14:paraId="7E32CB15" w14:textId="77777777" w:rsidR="006B176A" w:rsidRPr="006B176A" w:rsidRDefault="006B176A" w:rsidP="006B176A">
      <w:pPr>
        <w:pStyle w:val="Heading1"/>
        <w:rPr>
          <w:sz w:val="24"/>
          <w:szCs w:val="24"/>
        </w:rPr>
      </w:pPr>
    </w:p>
    <w:p w14:paraId="7DA5E0C8" w14:textId="0BDA57F2" w:rsidR="006B176A" w:rsidRPr="00397142" w:rsidRDefault="006B176A" w:rsidP="006B176A">
      <w:pPr>
        <w:pStyle w:val="Heading1"/>
        <w:rPr>
          <w:sz w:val="24"/>
          <w:szCs w:val="24"/>
        </w:rPr>
      </w:pPr>
      <w:r w:rsidRPr="006B176A">
        <w:rPr>
          <w:sz w:val="24"/>
          <w:szCs w:val="24"/>
        </w:rPr>
        <w:t>To exercise your access</w:t>
      </w:r>
      <w:r w:rsidR="00953867">
        <w:rPr>
          <w:sz w:val="24"/>
          <w:szCs w:val="24"/>
        </w:rPr>
        <w:t>, correction</w:t>
      </w:r>
      <w:r w:rsidRPr="006B176A">
        <w:rPr>
          <w:sz w:val="24"/>
          <w:szCs w:val="24"/>
        </w:rPr>
        <w:t xml:space="preserve"> or deletion rights described above, please submit a verifiable </w:t>
      </w:r>
      <w:r w:rsidR="00EB56C0">
        <w:rPr>
          <w:sz w:val="24"/>
          <w:szCs w:val="24"/>
        </w:rPr>
        <w:t xml:space="preserve">prospective </w:t>
      </w:r>
      <w:r w:rsidR="003F4A82">
        <w:rPr>
          <w:sz w:val="24"/>
          <w:szCs w:val="24"/>
        </w:rPr>
        <w:t>employee</w:t>
      </w:r>
      <w:r w:rsidRPr="006B176A">
        <w:rPr>
          <w:sz w:val="24"/>
          <w:szCs w:val="24"/>
        </w:rPr>
        <w:t xml:space="preserve"> request to us by either: Calling us at </w:t>
      </w:r>
      <w:r w:rsidR="007D1FB8">
        <w:rPr>
          <w:sz w:val="24"/>
          <w:szCs w:val="24"/>
        </w:rPr>
        <w:t>1-</w:t>
      </w:r>
      <w:r w:rsidR="000A0BAB">
        <w:rPr>
          <w:sz w:val="24"/>
          <w:szCs w:val="24"/>
        </w:rPr>
        <w:t xml:space="preserve">855-557-8437 </w:t>
      </w:r>
      <w:r w:rsidRPr="006B176A">
        <w:rPr>
          <w:sz w:val="24"/>
          <w:szCs w:val="24"/>
        </w:rPr>
        <w:t>or contacting us through our website</w:t>
      </w:r>
      <w:r w:rsidR="007D1FB8">
        <w:rPr>
          <w:sz w:val="24"/>
          <w:szCs w:val="24"/>
        </w:rPr>
        <w:t xml:space="preserve"> </w:t>
      </w:r>
      <w:hyperlink r:id="rId7" w:history="1">
        <w:r w:rsidR="00397142" w:rsidRPr="007154B9">
          <w:rPr>
            <w:rStyle w:val="Hyperlink"/>
            <w:sz w:val="24"/>
            <w:szCs w:val="24"/>
          </w:rPr>
          <w:t>https://ccpa.oldrepublictitle.com</w:t>
        </w:r>
      </w:hyperlink>
      <w:r w:rsidR="00397142" w:rsidRPr="00397142">
        <w:rPr>
          <w:sz w:val="24"/>
          <w:szCs w:val="24"/>
        </w:rPr>
        <w:t>.</w:t>
      </w:r>
    </w:p>
    <w:p w14:paraId="5FAD581C" w14:textId="77777777" w:rsidR="006B176A" w:rsidRPr="006B176A" w:rsidRDefault="006B176A" w:rsidP="006B176A">
      <w:pPr>
        <w:pStyle w:val="Heading1"/>
        <w:rPr>
          <w:sz w:val="24"/>
          <w:szCs w:val="24"/>
        </w:rPr>
      </w:pPr>
    </w:p>
    <w:p w14:paraId="181A02F7" w14:textId="77777777" w:rsidR="006B176A" w:rsidRPr="006B176A" w:rsidRDefault="006B176A" w:rsidP="006B176A">
      <w:pPr>
        <w:pStyle w:val="Heading1"/>
        <w:rPr>
          <w:sz w:val="24"/>
          <w:szCs w:val="24"/>
        </w:rPr>
      </w:pPr>
    </w:p>
    <w:p w14:paraId="38F07A93" w14:textId="1D0D5EDC" w:rsidR="006B176A" w:rsidRPr="006B176A" w:rsidRDefault="006B176A" w:rsidP="006B176A">
      <w:pPr>
        <w:pStyle w:val="Heading1"/>
        <w:rPr>
          <w:sz w:val="24"/>
          <w:szCs w:val="24"/>
        </w:rPr>
      </w:pPr>
      <w:r w:rsidRPr="006B176A">
        <w:rPr>
          <w:sz w:val="24"/>
          <w:szCs w:val="24"/>
        </w:rPr>
        <w:t xml:space="preserve">Only you or your representative that you authorize to act on your behalf (Authorized Agent) can make a verifiable </w:t>
      </w:r>
      <w:r w:rsidR="00D17EA7">
        <w:rPr>
          <w:sz w:val="24"/>
          <w:szCs w:val="24"/>
        </w:rPr>
        <w:t xml:space="preserve">prospective </w:t>
      </w:r>
      <w:r w:rsidR="000B5ECC">
        <w:rPr>
          <w:sz w:val="24"/>
          <w:szCs w:val="24"/>
        </w:rPr>
        <w:t>employee</w:t>
      </w:r>
      <w:r w:rsidRPr="006B176A">
        <w:rPr>
          <w:sz w:val="24"/>
          <w:szCs w:val="24"/>
        </w:rPr>
        <w:t xml:space="preserve"> request for your personal information. The verifiable request must provide enough information that allows us to reasonably verify you are the person about whom we collected personal information. We cannot respond to your request or provide you with personal information if we cannot verify your identity or authority to make the request and to confirm the personal information relates to you. </w:t>
      </w:r>
    </w:p>
    <w:p w14:paraId="7C9B1FC2" w14:textId="77777777" w:rsidR="006B176A" w:rsidRPr="006B176A" w:rsidRDefault="006B176A" w:rsidP="006B176A">
      <w:pPr>
        <w:pStyle w:val="Heading1"/>
        <w:rPr>
          <w:sz w:val="24"/>
          <w:szCs w:val="24"/>
        </w:rPr>
      </w:pPr>
    </w:p>
    <w:p w14:paraId="661E44D1" w14:textId="77777777" w:rsidR="006B176A" w:rsidRPr="006B176A" w:rsidRDefault="006B176A" w:rsidP="006B176A">
      <w:pPr>
        <w:pStyle w:val="Heading1"/>
        <w:rPr>
          <w:sz w:val="24"/>
          <w:szCs w:val="24"/>
        </w:rPr>
      </w:pPr>
    </w:p>
    <w:p w14:paraId="32430322" w14:textId="573D045A" w:rsidR="006B176A" w:rsidRPr="006B176A" w:rsidRDefault="006B176A" w:rsidP="006B176A">
      <w:pPr>
        <w:pStyle w:val="Heading1"/>
        <w:rPr>
          <w:sz w:val="24"/>
          <w:szCs w:val="24"/>
        </w:rPr>
      </w:pPr>
      <w:r w:rsidRPr="006B176A">
        <w:rPr>
          <w:sz w:val="24"/>
          <w:szCs w:val="24"/>
        </w:rPr>
        <w:t xml:space="preserve">We work to respond to a verifiable </w:t>
      </w:r>
      <w:r w:rsidR="00D17EA7">
        <w:rPr>
          <w:sz w:val="24"/>
          <w:szCs w:val="24"/>
        </w:rPr>
        <w:t xml:space="preserve">prospective </w:t>
      </w:r>
      <w:r w:rsidR="00FA2B48">
        <w:rPr>
          <w:sz w:val="24"/>
          <w:szCs w:val="24"/>
        </w:rPr>
        <w:t>employee</w:t>
      </w:r>
      <w:r w:rsidRPr="006B176A">
        <w:rPr>
          <w:sz w:val="24"/>
          <w:szCs w:val="24"/>
        </w:rPr>
        <w:t xml:space="preserve"> request within 45 days of its receipt. If we require additional time, we will inform you of the extension period (up to an additional 45 days), and the reason for the extension in writing. </w:t>
      </w:r>
      <w:r w:rsidR="00FA2B48">
        <w:rPr>
          <w:sz w:val="24"/>
          <w:szCs w:val="24"/>
        </w:rPr>
        <w:t>We</w:t>
      </w:r>
      <w:r w:rsidRPr="006B176A">
        <w:rPr>
          <w:sz w:val="24"/>
          <w:szCs w:val="24"/>
        </w:rPr>
        <w:t xml:space="preserve"> will deliver our response by mail or electronically, depending on your preference. The response we provide will also explain any reasons why we cannot comply with a request.</w:t>
      </w:r>
    </w:p>
    <w:p w14:paraId="4FDBF6D5" w14:textId="77777777" w:rsidR="006B176A" w:rsidRPr="006B176A" w:rsidRDefault="006B176A" w:rsidP="006B176A">
      <w:pPr>
        <w:pStyle w:val="Heading1"/>
        <w:rPr>
          <w:sz w:val="24"/>
          <w:szCs w:val="24"/>
        </w:rPr>
      </w:pPr>
    </w:p>
    <w:p w14:paraId="44992E28" w14:textId="691CEA9F" w:rsidR="006B176A" w:rsidRPr="006B176A" w:rsidRDefault="006B176A" w:rsidP="006B176A">
      <w:pPr>
        <w:pStyle w:val="Heading1"/>
        <w:rPr>
          <w:sz w:val="24"/>
          <w:szCs w:val="24"/>
        </w:rPr>
      </w:pPr>
      <w:r w:rsidRPr="006B176A">
        <w:rPr>
          <w:sz w:val="24"/>
          <w:szCs w:val="24"/>
        </w:rPr>
        <w:t xml:space="preserve">You may only make </w:t>
      </w:r>
      <w:r w:rsidR="006D6BB9" w:rsidRPr="006B176A">
        <w:rPr>
          <w:sz w:val="24"/>
          <w:szCs w:val="24"/>
        </w:rPr>
        <w:t>a</w:t>
      </w:r>
      <w:r w:rsidR="004C2439">
        <w:rPr>
          <w:sz w:val="24"/>
          <w:szCs w:val="24"/>
        </w:rPr>
        <w:t xml:space="preserve"> </w:t>
      </w:r>
      <w:r w:rsidR="00CD1961">
        <w:rPr>
          <w:sz w:val="24"/>
          <w:szCs w:val="24"/>
        </w:rPr>
        <w:t xml:space="preserve">prospective </w:t>
      </w:r>
      <w:r w:rsidR="00FA2B48">
        <w:rPr>
          <w:sz w:val="24"/>
          <w:szCs w:val="24"/>
        </w:rPr>
        <w:t>employee</w:t>
      </w:r>
      <w:r w:rsidRPr="006B176A">
        <w:rPr>
          <w:sz w:val="24"/>
          <w:szCs w:val="24"/>
        </w:rPr>
        <w:t xml:space="preserve"> request for access twice within a twelve-month period. </w:t>
      </w:r>
    </w:p>
    <w:p w14:paraId="438C9A22" w14:textId="33C28603" w:rsidR="006B176A" w:rsidRPr="006B176A" w:rsidRDefault="006B176A" w:rsidP="006B176A">
      <w:pPr>
        <w:pStyle w:val="Heading1"/>
        <w:rPr>
          <w:sz w:val="24"/>
          <w:szCs w:val="24"/>
        </w:rPr>
      </w:pPr>
      <w:r w:rsidRPr="006B176A">
        <w:rPr>
          <w:sz w:val="24"/>
          <w:szCs w:val="24"/>
        </w:rPr>
        <w:t xml:space="preserve">Any disclosures we provide will apply to the twelve-month period preceding the </w:t>
      </w:r>
      <w:r w:rsidR="00DD0CB2">
        <w:rPr>
          <w:sz w:val="24"/>
          <w:szCs w:val="24"/>
        </w:rPr>
        <w:t xml:space="preserve">prospective </w:t>
      </w:r>
      <w:r w:rsidR="004C2439">
        <w:rPr>
          <w:sz w:val="24"/>
          <w:szCs w:val="24"/>
        </w:rPr>
        <w:t>employee</w:t>
      </w:r>
      <w:r w:rsidRPr="006B176A">
        <w:rPr>
          <w:sz w:val="24"/>
          <w:szCs w:val="24"/>
        </w:rPr>
        <w:t xml:space="preserve"> request’s receipt.</w:t>
      </w:r>
    </w:p>
    <w:p w14:paraId="595C694C" w14:textId="77777777" w:rsidR="006B176A" w:rsidRPr="006B176A" w:rsidRDefault="006B176A" w:rsidP="006D6BB9">
      <w:pPr>
        <w:pStyle w:val="Heading1"/>
        <w:ind w:left="0"/>
        <w:rPr>
          <w:sz w:val="24"/>
          <w:szCs w:val="24"/>
        </w:rPr>
      </w:pPr>
    </w:p>
    <w:p w14:paraId="49406B4A" w14:textId="77777777" w:rsidR="006B176A" w:rsidRPr="006B176A" w:rsidRDefault="006B176A" w:rsidP="006B176A">
      <w:pPr>
        <w:pStyle w:val="Heading1"/>
        <w:rPr>
          <w:sz w:val="24"/>
          <w:szCs w:val="24"/>
        </w:rPr>
      </w:pPr>
    </w:p>
    <w:p w14:paraId="4760D830" w14:textId="77777777" w:rsidR="006B176A" w:rsidRPr="006B176A" w:rsidRDefault="006B176A" w:rsidP="006B176A">
      <w:pPr>
        <w:pStyle w:val="Heading1"/>
        <w:rPr>
          <w:sz w:val="24"/>
          <w:szCs w:val="24"/>
        </w:rPr>
      </w:pPr>
      <w:bookmarkStart w:id="4" w:name="_Hlk19285166"/>
      <w:r w:rsidRPr="006B176A">
        <w:rPr>
          <w:sz w:val="24"/>
          <w:szCs w:val="24"/>
        </w:rPr>
        <w:t>Contact Us</w:t>
      </w:r>
    </w:p>
    <w:p w14:paraId="69528F43" w14:textId="77777777" w:rsidR="006B176A" w:rsidRPr="006B176A" w:rsidRDefault="006B176A" w:rsidP="006B176A">
      <w:pPr>
        <w:pStyle w:val="Heading1"/>
        <w:rPr>
          <w:sz w:val="24"/>
          <w:szCs w:val="24"/>
        </w:rPr>
      </w:pPr>
    </w:p>
    <w:p w14:paraId="3D261734" w14:textId="5C068E22" w:rsidR="006B176A" w:rsidRPr="00222406" w:rsidRDefault="006B176A" w:rsidP="003A2F48">
      <w:pPr>
        <w:pStyle w:val="Heading1"/>
        <w:rPr>
          <w:b w:val="0"/>
          <w:bCs w:val="0"/>
          <w:sz w:val="24"/>
          <w:szCs w:val="24"/>
        </w:rPr>
      </w:pPr>
      <w:r w:rsidRPr="006B176A">
        <w:rPr>
          <w:sz w:val="24"/>
          <w:szCs w:val="24"/>
        </w:rPr>
        <w:t xml:space="preserve">If you have any questions regarding our </w:t>
      </w:r>
      <w:r w:rsidR="002F7455">
        <w:rPr>
          <w:sz w:val="24"/>
          <w:szCs w:val="24"/>
        </w:rPr>
        <w:t xml:space="preserve">California </w:t>
      </w:r>
      <w:r w:rsidR="00D834EA">
        <w:rPr>
          <w:sz w:val="24"/>
          <w:szCs w:val="24"/>
        </w:rPr>
        <w:t xml:space="preserve">Notice at Collection </w:t>
      </w:r>
      <w:r w:rsidR="00D741A1">
        <w:rPr>
          <w:sz w:val="24"/>
          <w:szCs w:val="24"/>
        </w:rPr>
        <w:t xml:space="preserve">for </w:t>
      </w:r>
      <w:r w:rsidR="00D834EA">
        <w:rPr>
          <w:sz w:val="24"/>
          <w:szCs w:val="24"/>
        </w:rPr>
        <w:t xml:space="preserve">Prospective </w:t>
      </w:r>
      <w:r w:rsidR="002F7455">
        <w:rPr>
          <w:sz w:val="24"/>
          <w:szCs w:val="24"/>
        </w:rPr>
        <w:t>Employee</w:t>
      </w:r>
      <w:r w:rsidR="00D741A1">
        <w:rPr>
          <w:sz w:val="24"/>
          <w:szCs w:val="24"/>
        </w:rPr>
        <w:t>s</w:t>
      </w:r>
      <w:r w:rsidR="002F7455">
        <w:rPr>
          <w:sz w:val="24"/>
          <w:szCs w:val="24"/>
        </w:rPr>
        <w:t xml:space="preserve"> </w:t>
      </w:r>
      <w:r w:rsidRPr="006B176A">
        <w:rPr>
          <w:sz w:val="24"/>
          <w:szCs w:val="24"/>
        </w:rPr>
        <w:t xml:space="preserve">or practices, please contact us or send your written request to: </w:t>
      </w:r>
      <w:bookmarkEnd w:id="4"/>
      <w:r w:rsidR="005A1F17">
        <w:rPr>
          <w:sz w:val="24"/>
          <w:szCs w:val="24"/>
        </w:rPr>
        <w:fldChar w:fldCharType="begin"/>
      </w:r>
      <w:r w:rsidR="005A1F17">
        <w:rPr>
          <w:sz w:val="24"/>
          <w:szCs w:val="24"/>
        </w:rPr>
        <w:instrText xml:space="preserve"> HYPERLINK "mailto:CCPA@oldrepublictitle.com" </w:instrText>
      </w:r>
      <w:r w:rsidR="005A1F17">
        <w:rPr>
          <w:sz w:val="24"/>
          <w:szCs w:val="24"/>
        </w:rPr>
      </w:r>
      <w:r w:rsidR="005A1F17">
        <w:rPr>
          <w:sz w:val="24"/>
          <w:szCs w:val="24"/>
        </w:rPr>
        <w:fldChar w:fldCharType="separate"/>
      </w:r>
      <w:r w:rsidR="005A1F17" w:rsidRPr="00C6760B">
        <w:rPr>
          <w:rStyle w:val="Hyperlink"/>
          <w:sz w:val="24"/>
          <w:szCs w:val="24"/>
        </w:rPr>
        <w:t>CCPA@oldrepublictitle.com</w:t>
      </w:r>
      <w:r w:rsidR="005A1F17">
        <w:rPr>
          <w:sz w:val="24"/>
          <w:szCs w:val="24"/>
        </w:rPr>
        <w:fldChar w:fldCharType="end"/>
      </w:r>
      <w:r w:rsidR="005A1F17">
        <w:rPr>
          <w:sz w:val="24"/>
          <w:szCs w:val="24"/>
        </w:rPr>
        <w:t xml:space="preserve"> , 1-855-557-8437, </w:t>
      </w:r>
      <w:r w:rsidR="00402FFF">
        <w:rPr>
          <w:sz w:val="24"/>
          <w:szCs w:val="24"/>
        </w:rPr>
        <w:t>or 3000 Bayport Drive, Suite 1000 Tampa FL 33707</w:t>
      </w:r>
    </w:p>
    <w:p w14:paraId="63810C44" w14:textId="77777777" w:rsidR="00731517" w:rsidRDefault="00731517"/>
    <w:sectPr w:rsidR="00731517" w:rsidSect="007315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A89B" w14:textId="77777777" w:rsidR="00495C33" w:rsidRDefault="00495C33" w:rsidP="00D902E1">
      <w:pPr>
        <w:spacing w:after="0" w:line="240" w:lineRule="auto"/>
      </w:pPr>
      <w:r>
        <w:separator/>
      </w:r>
    </w:p>
  </w:endnote>
  <w:endnote w:type="continuationSeparator" w:id="0">
    <w:p w14:paraId="4EC599CE" w14:textId="77777777" w:rsidR="00495C33" w:rsidRDefault="00495C33" w:rsidP="00D9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3EC8" w14:textId="77777777" w:rsidR="00495C33" w:rsidRDefault="00495C33" w:rsidP="00D902E1">
      <w:pPr>
        <w:spacing w:after="0" w:line="240" w:lineRule="auto"/>
      </w:pPr>
      <w:r>
        <w:separator/>
      </w:r>
    </w:p>
  </w:footnote>
  <w:footnote w:type="continuationSeparator" w:id="0">
    <w:p w14:paraId="703796C7" w14:textId="77777777" w:rsidR="00495C33" w:rsidRDefault="00495C33" w:rsidP="00D90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67C0"/>
    <w:multiLevelType w:val="hybridMultilevel"/>
    <w:tmpl w:val="11BC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2E0BBE"/>
    <w:multiLevelType w:val="hybridMultilevel"/>
    <w:tmpl w:val="DD860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E9569EB"/>
    <w:multiLevelType w:val="hybridMultilevel"/>
    <w:tmpl w:val="47AA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179562">
    <w:abstractNumId w:val="1"/>
  </w:num>
  <w:num w:numId="2" w16cid:durableId="340399781">
    <w:abstractNumId w:val="0"/>
  </w:num>
  <w:num w:numId="3" w16cid:durableId="2116901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E1"/>
    <w:rsid w:val="00001E07"/>
    <w:rsid w:val="00020A0A"/>
    <w:rsid w:val="00037F7D"/>
    <w:rsid w:val="000516CE"/>
    <w:rsid w:val="00056D93"/>
    <w:rsid w:val="00072B25"/>
    <w:rsid w:val="00085D3A"/>
    <w:rsid w:val="00091BC6"/>
    <w:rsid w:val="000A0BAB"/>
    <w:rsid w:val="000A1AAD"/>
    <w:rsid w:val="000A6F44"/>
    <w:rsid w:val="000B5ECC"/>
    <w:rsid w:val="000E3A10"/>
    <w:rsid w:val="000F42E4"/>
    <w:rsid w:val="00115F10"/>
    <w:rsid w:val="00122F6E"/>
    <w:rsid w:val="001450A1"/>
    <w:rsid w:val="001644B1"/>
    <w:rsid w:val="0018244E"/>
    <w:rsid w:val="0018394C"/>
    <w:rsid w:val="001C712D"/>
    <w:rsid w:val="00206BBC"/>
    <w:rsid w:val="00286E40"/>
    <w:rsid w:val="00293CA7"/>
    <w:rsid w:val="002A4074"/>
    <w:rsid w:val="002A775C"/>
    <w:rsid w:val="002C2464"/>
    <w:rsid w:val="002C71DD"/>
    <w:rsid w:val="002D385C"/>
    <w:rsid w:val="002E59E7"/>
    <w:rsid w:val="002E698F"/>
    <w:rsid w:val="002E7940"/>
    <w:rsid w:val="002F0912"/>
    <w:rsid w:val="002F7455"/>
    <w:rsid w:val="00306F4B"/>
    <w:rsid w:val="00311534"/>
    <w:rsid w:val="00314325"/>
    <w:rsid w:val="00341D83"/>
    <w:rsid w:val="003708F5"/>
    <w:rsid w:val="00397142"/>
    <w:rsid w:val="003A2F48"/>
    <w:rsid w:val="003A7A89"/>
    <w:rsid w:val="003B7596"/>
    <w:rsid w:val="003C54CA"/>
    <w:rsid w:val="003E6EDD"/>
    <w:rsid w:val="003F4A82"/>
    <w:rsid w:val="00401F58"/>
    <w:rsid w:val="00402FFF"/>
    <w:rsid w:val="0040777B"/>
    <w:rsid w:val="00462929"/>
    <w:rsid w:val="004678F9"/>
    <w:rsid w:val="00491B06"/>
    <w:rsid w:val="004944B2"/>
    <w:rsid w:val="00495C33"/>
    <w:rsid w:val="004C2439"/>
    <w:rsid w:val="004C2626"/>
    <w:rsid w:val="00514D02"/>
    <w:rsid w:val="00525438"/>
    <w:rsid w:val="00544B3E"/>
    <w:rsid w:val="00551754"/>
    <w:rsid w:val="005566E4"/>
    <w:rsid w:val="005864CA"/>
    <w:rsid w:val="005A1999"/>
    <w:rsid w:val="005A1F17"/>
    <w:rsid w:val="005D6E9C"/>
    <w:rsid w:val="005F54C1"/>
    <w:rsid w:val="006431D5"/>
    <w:rsid w:val="00654467"/>
    <w:rsid w:val="0067590F"/>
    <w:rsid w:val="00682FC5"/>
    <w:rsid w:val="0068683E"/>
    <w:rsid w:val="00692080"/>
    <w:rsid w:val="006B03F6"/>
    <w:rsid w:val="006B176A"/>
    <w:rsid w:val="006B1B17"/>
    <w:rsid w:val="006B5C7E"/>
    <w:rsid w:val="006D6BB9"/>
    <w:rsid w:val="006E2F68"/>
    <w:rsid w:val="006F7CF0"/>
    <w:rsid w:val="00714960"/>
    <w:rsid w:val="00717BAB"/>
    <w:rsid w:val="00725FE0"/>
    <w:rsid w:val="00731517"/>
    <w:rsid w:val="007443E2"/>
    <w:rsid w:val="00771E29"/>
    <w:rsid w:val="007755B4"/>
    <w:rsid w:val="007B1DBE"/>
    <w:rsid w:val="007B2616"/>
    <w:rsid w:val="007B36E3"/>
    <w:rsid w:val="007D1FB8"/>
    <w:rsid w:val="007D406E"/>
    <w:rsid w:val="007E03C3"/>
    <w:rsid w:val="007F088D"/>
    <w:rsid w:val="007F4133"/>
    <w:rsid w:val="007F6AD2"/>
    <w:rsid w:val="00804BF9"/>
    <w:rsid w:val="00807F46"/>
    <w:rsid w:val="008112C3"/>
    <w:rsid w:val="00824519"/>
    <w:rsid w:val="00824E51"/>
    <w:rsid w:val="008433F7"/>
    <w:rsid w:val="00843C66"/>
    <w:rsid w:val="00844C9E"/>
    <w:rsid w:val="00896637"/>
    <w:rsid w:val="008A6745"/>
    <w:rsid w:val="008E412F"/>
    <w:rsid w:val="008F0D74"/>
    <w:rsid w:val="0091568B"/>
    <w:rsid w:val="00920C64"/>
    <w:rsid w:val="00922587"/>
    <w:rsid w:val="009271D0"/>
    <w:rsid w:val="00931712"/>
    <w:rsid w:val="00953867"/>
    <w:rsid w:val="00971E8B"/>
    <w:rsid w:val="00983C68"/>
    <w:rsid w:val="00996624"/>
    <w:rsid w:val="0099665A"/>
    <w:rsid w:val="009A7DD3"/>
    <w:rsid w:val="009B78C1"/>
    <w:rsid w:val="009F713E"/>
    <w:rsid w:val="009F7739"/>
    <w:rsid w:val="00A07863"/>
    <w:rsid w:val="00A160B7"/>
    <w:rsid w:val="00A17ADA"/>
    <w:rsid w:val="00A2457E"/>
    <w:rsid w:val="00A34BC6"/>
    <w:rsid w:val="00A72C20"/>
    <w:rsid w:val="00A97048"/>
    <w:rsid w:val="00AA0E00"/>
    <w:rsid w:val="00AA6966"/>
    <w:rsid w:val="00AE114A"/>
    <w:rsid w:val="00AF4C0E"/>
    <w:rsid w:val="00B02D35"/>
    <w:rsid w:val="00B30419"/>
    <w:rsid w:val="00B503AA"/>
    <w:rsid w:val="00B57541"/>
    <w:rsid w:val="00B81AB4"/>
    <w:rsid w:val="00B94A21"/>
    <w:rsid w:val="00BA324A"/>
    <w:rsid w:val="00BE163D"/>
    <w:rsid w:val="00BF207C"/>
    <w:rsid w:val="00C016E4"/>
    <w:rsid w:val="00C065A9"/>
    <w:rsid w:val="00C97553"/>
    <w:rsid w:val="00CA1908"/>
    <w:rsid w:val="00CD1961"/>
    <w:rsid w:val="00CE009E"/>
    <w:rsid w:val="00CF1515"/>
    <w:rsid w:val="00D01447"/>
    <w:rsid w:val="00D17EA7"/>
    <w:rsid w:val="00D23473"/>
    <w:rsid w:val="00D3318A"/>
    <w:rsid w:val="00D539FB"/>
    <w:rsid w:val="00D73645"/>
    <w:rsid w:val="00D741A1"/>
    <w:rsid w:val="00D834EA"/>
    <w:rsid w:val="00D902E1"/>
    <w:rsid w:val="00DD0CB2"/>
    <w:rsid w:val="00DD10B6"/>
    <w:rsid w:val="00DF5A89"/>
    <w:rsid w:val="00E0375F"/>
    <w:rsid w:val="00E07B2A"/>
    <w:rsid w:val="00E31F67"/>
    <w:rsid w:val="00E479E3"/>
    <w:rsid w:val="00E65B80"/>
    <w:rsid w:val="00E75216"/>
    <w:rsid w:val="00E8623F"/>
    <w:rsid w:val="00EA43A6"/>
    <w:rsid w:val="00EB56C0"/>
    <w:rsid w:val="00ED72C7"/>
    <w:rsid w:val="00F15766"/>
    <w:rsid w:val="00F4263E"/>
    <w:rsid w:val="00F73594"/>
    <w:rsid w:val="00F86E42"/>
    <w:rsid w:val="00FA12E6"/>
    <w:rsid w:val="00FA2B48"/>
    <w:rsid w:val="00FB1C00"/>
    <w:rsid w:val="00FB4B34"/>
    <w:rsid w:val="00FC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DD050"/>
  <w15:chartTrackingRefBased/>
  <w15:docId w15:val="{D15EEEAF-E031-44BF-8389-CDAB3A24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2E1"/>
    <w:pPr>
      <w:spacing w:after="200" w:line="276" w:lineRule="auto"/>
    </w:pPr>
  </w:style>
  <w:style w:type="paragraph" w:styleId="Heading1">
    <w:name w:val="heading 1"/>
    <w:basedOn w:val="Normal"/>
    <w:link w:val="Heading1Char"/>
    <w:uiPriority w:val="9"/>
    <w:qFormat/>
    <w:rsid w:val="003A2F48"/>
    <w:pPr>
      <w:widowControl w:val="0"/>
      <w:autoSpaceDE w:val="0"/>
      <w:autoSpaceDN w:val="0"/>
      <w:spacing w:after="0" w:line="240" w:lineRule="auto"/>
      <w:ind w:left="480"/>
      <w:outlineLvl w:val="0"/>
    </w:pPr>
    <w:rPr>
      <w:rFonts w:ascii="Arial" w:eastAsia="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02E1"/>
    <w:pPr>
      <w:spacing w:after="0" w:line="240" w:lineRule="auto"/>
    </w:pPr>
  </w:style>
  <w:style w:type="paragraph" w:customStyle="1" w:styleId="sub-main">
    <w:name w:val="sub-main"/>
    <w:basedOn w:val="Normal"/>
    <w:rsid w:val="00D902E1"/>
    <w:pPr>
      <w:spacing w:before="45" w:after="240" w:line="300" w:lineRule="atLeast"/>
      <w:ind w:left="285" w:right="285"/>
      <w:textAlignment w:val="top"/>
    </w:pPr>
    <w:rPr>
      <w:rFonts w:ascii="Arial" w:eastAsia="Times New Roman" w:hAnsi="Arial" w:cs="Arial"/>
      <w:color w:val="6A6A6A"/>
      <w:sz w:val="23"/>
      <w:szCs w:val="23"/>
    </w:rPr>
  </w:style>
  <w:style w:type="table" w:styleId="TableGrid">
    <w:name w:val="Table Grid"/>
    <w:basedOn w:val="TableNormal"/>
    <w:uiPriority w:val="59"/>
    <w:rsid w:val="00D90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0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2E1"/>
  </w:style>
  <w:style w:type="paragraph" w:styleId="Footer">
    <w:name w:val="footer"/>
    <w:basedOn w:val="Normal"/>
    <w:link w:val="FooterChar"/>
    <w:uiPriority w:val="99"/>
    <w:unhideWhenUsed/>
    <w:rsid w:val="00D9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E1"/>
  </w:style>
  <w:style w:type="paragraph" w:styleId="BalloonText">
    <w:name w:val="Balloon Text"/>
    <w:basedOn w:val="Normal"/>
    <w:link w:val="BalloonTextChar"/>
    <w:uiPriority w:val="99"/>
    <w:semiHidden/>
    <w:unhideWhenUsed/>
    <w:rsid w:val="00122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F6E"/>
    <w:rPr>
      <w:rFonts w:ascii="Segoe UI" w:hAnsi="Segoe UI" w:cs="Segoe UI"/>
      <w:sz w:val="18"/>
      <w:szCs w:val="18"/>
    </w:rPr>
  </w:style>
  <w:style w:type="character" w:styleId="CommentReference">
    <w:name w:val="annotation reference"/>
    <w:basedOn w:val="DefaultParagraphFont"/>
    <w:uiPriority w:val="99"/>
    <w:semiHidden/>
    <w:unhideWhenUsed/>
    <w:rsid w:val="00931712"/>
    <w:rPr>
      <w:sz w:val="16"/>
      <w:szCs w:val="16"/>
    </w:rPr>
  </w:style>
  <w:style w:type="paragraph" w:styleId="CommentText">
    <w:name w:val="annotation text"/>
    <w:basedOn w:val="Normal"/>
    <w:link w:val="CommentTextChar"/>
    <w:uiPriority w:val="99"/>
    <w:semiHidden/>
    <w:unhideWhenUsed/>
    <w:rsid w:val="00931712"/>
    <w:pPr>
      <w:spacing w:line="240" w:lineRule="auto"/>
    </w:pPr>
    <w:rPr>
      <w:sz w:val="20"/>
      <w:szCs w:val="20"/>
    </w:rPr>
  </w:style>
  <w:style w:type="character" w:customStyle="1" w:styleId="CommentTextChar">
    <w:name w:val="Comment Text Char"/>
    <w:basedOn w:val="DefaultParagraphFont"/>
    <w:link w:val="CommentText"/>
    <w:uiPriority w:val="99"/>
    <w:semiHidden/>
    <w:rsid w:val="00931712"/>
    <w:rPr>
      <w:sz w:val="20"/>
      <w:szCs w:val="20"/>
    </w:rPr>
  </w:style>
  <w:style w:type="paragraph" w:styleId="CommentSubject">
    <w:name w:val="annotation subject"/>
    <w:basedOn w:val="CommentText"/>
    <w:next w:val="CommentText"/>
    <w:link w:val="CommentSubjectChar"/>
    <w:uiPriority w:val="99"/>
    <w:semiHidden/>
    <w:unhideWhenUsed/>
    <w:rsid w:val="00931712"/>
    <w:rPr>
      <w:b/>
      <w:bCs/>
    </w:rPr>
  </w:style>
  <w:style w:type="character" w:customStyle="1" w:styleId="CommentSubjectChar">
    <w:name w:val="Comment Subject Char"/>
    <w:basedOn w:val="CommentTextChar"/>
    <w:link w:val="CommentSubject"/>
    <w:uiPriority w:val="99"/>
    <w:semiHidden/>
    <w:rsid w:val="00931712"/>
    <w:rPr>
      <w:b/>
      <w:bCs/>
      <w:sz w:val="20"/>
      <w:szCs w:val="20"/>
    </w:rPr>
  </w:style>
  <w:style w:type="paragraph" w:styleId="Revision">
    <w:name w:val="Revision"/>
    <w:hidden/>
    <w:uiPriority w:val="99"/>
    <w:semiHidden/>
    <w:rsid w:val="00E31F67"/>
    <w:pPr>
      <w:spacing w:after="0" w:line="240" w:lineRule="auto"/>
    </w:pPr>
  </w:style>
  <w:style w:type="character" w:customStyle="1" w:styleId="Heading1Char">
    <w:name w:val="Heading 1 Char"/>
    <w:basedOn w:val="DefaultParagraphFont"/>
    <w:link w:val="Heading1"/>
    <w:uiPriority w:val="9"/>
    <w:rsid w:val="003A2F48"/>
    <w:rPr>
      <w:rFonts w:ascii="Arial" w:eastAsia="Arial" w:hAnsi="Arial" w:cs="Arial"/>
      <w:b/>
      <w:bCs/>
      <w:sz w:val="40"/>
      <w:szCs w:val="40"/>
    </w:rPr>
  </w:style>
  <w:style w:type="character" w:styleId="Hyperlink">
    <w:name w:val="Hyperlink"/>
    <w:basedOn w:val="DefaultParagraphFont"/>
    <w:uiPriority w:val="99"/>
    <w:unhideWhenUsed/>
    <w:rsid w:val="006B176A"/>
    <w:rPr>
      <w:color w:val="0563C1" w:themeColor="hyperlink"/>
      <w:u w:val="single"/>
    </w:rPr>
  </w:style>
  <w:style w:type="character" w:styleId="UnresolvedMention">
    <w:name w:val="Unresolved Mention"/>
    <w:basedOn w:val="DefaultParagraphFont"/>
    <w:uiPriority w:val="99"/>
    <w:semiHidden/>
    <w:unhideWhenUsed/>
    <w:rsid w:val="006B1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68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cpa.oldrepublictit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 Brenda</dc:creator>
  <cp:keywords/>
  <dc:description/>
  <cp:lastModifiedBy>Tjaden, Steve</cp:lastModifiedBy>
  <cp:revision>2</cp:revision>
  <dcterms:created xsi:type="dcterms:W3CDTF">2023-12-05T23:26:00Z</dcterms:created>
  <dcterms:modified xsi:type="dcterms:W3CDTF">2023-12-05T23:26:00Z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29e12c-f801-4237-993b-e6a737fc631f_Enabled">
    <vt:lpwstr>true</vt:lpwstr>
  </property>
  <property fmtid="{D5CDD505-2E9C-101B-9397-08002B2CF9AE}" pid="3" name="MSIP_Label_b029e12c-f801-4237-993b-e6a737fc631f_SetDate">
    <vt:lpwstr>2023-12-05T19:37:54Z</vt:lpwstr>
  </property>
  <property fmtid="{D5CDD505-2E9C-101B-9397-08002B2CF9AE}" pid="4" name="MSIP_Label_b029e12c-f801-4237-993b-e6a737fc631f_Method">
    <vt:lpwstr>Standard</vt:lpwstr>
  </property>
  <property fmtid="{D5CDD505-2E9C-101B-9397-08002B2CF9AE}" pid="5" name="MSIP_Label_b029e12c-f801-4237-993b-e6a737fc631f_Name">
    <vt:lpwstr>Confidential or Internal Use</vt:lpwstr>
  </property>
  <property fmtid="{D5CDD505-2E9C-101B-9397-08002B2CF9AE}" pid="6" name="MSIP_Label_b029e12c-f801-4237-993b-e6a737fc631f_SiteId">
    <vt:lpwstr>b1a4b72b-b14a-41b0-b0a4-76f4b8df1f43</vt:lpwstr>
  </property>
  <property fmtid="{D5CDD505-2E9C-101B-9397-08002B2CF9AE}" pid="7" name="MSIP_Label_b029e12c-f801-4237-993b-e6a737fc631f_ActionId">
    <vt:lpwstr>7eae52c4-b292-4611-81f3-520e0ec06343</vt:lpwstr>
  </property>
  <property fmtid="{D5CDD505-2E9C-101B-9397-08002B2CF9AE}" pid="8" name="MSIP_Label_b029e12c-f801-4237-993b-e6a737fc631f_ContentBits">
    <vt:lpwstr>0</vt:lpwstr>
  </property>
</Properties>
</file>